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D7" w:rsidRDefault="001528D7" w:rsidP="001528D7">
      <w:pPr>
        <w:pStyle w:val="Default"/>
      </w:pPr>
    </w:p>
    <w:p w:rsidR="00BF7DBC" w:rsidRDefault="001528D7" w:rsidP="001528D7">
      <w:pPr>
        <w:pStyle w:val="Default"/>
      </w:pPr>
      <w:r>
        <w:t xml:space="preserve"> </w:t>
      </w:r>
    </w:p>
    <w:p w:rsidR="001528D7" w:rsidRPr="00BF7DBC" w:rsidRDefault="00BF7DBC" w:rsidP="001528D7">
      <w:pPr>
        <w:pStyle w:val="Default"/>
      </w:pPr>
      <w:r>
        <w:t xml:space="preserve">                                                </w:t>
      </w:r>
      <w:r w:rsidR="001528D7">
        <w:rPr>
          <w:b/>
          <w:bCs/>
          <w:sz w:val="44"/>
          <w:szCs w:val="44"/>
        </w:rPr>
        <w:t xml:space="preserve">SPECYFIKACJA </w:t>
      </w:r>
    </w:p>
    <w:p w:rsidR="001528D7" w:rsidRDefault="00BF7DBC" w:rsidP="001528D7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</w:t>
      </w:r>
      <w:r w:rsidR="001528D7">
        <w:rPr>
          <w:b/>
          <w:bCs/>
          <w:sz w:val="44"/>
          <w:szCs w:val="44"/>
        </w:rPr>
        <w:t xml:space="preserve">WARUNKÓW ZAMÓWIENIA </w:t>
      </w:r>
    </w:p>
    <w:p w:rsidR="002834F3" w:rsidRDefault="006F255F" w:rsidP="001528D7">
      <w:pPr>
        <w:pStyle w:val="Default"/>
        <w:rPr>
          <w:b/>
          <w:bCs/>
          <w:sz w:val="32"/>
          <w:szCs w:val="32"/>
        </w:rPr>
      </w:pPr>
      <w:r w:rsidRPr="006F255F">
        <w:rPr>
          <w:b/>
          <w:bCs/>
          <w:sz w:val="32"/>
          <w:szCs w:val="32"/>
        </w:rPr>
        <w:t>„ Kom</w:t>
      </w:r>
      <w:r w:rsidR="002834F3">
        <w:rPr>
          <w:b/>
          <w:bCs/>
          <w:sz w:val="32"/>
          <w:szCs w:val="32"/>
        </w:rPr>
        <w:t xml:space="preserve">pleksowa dostawa gazu wraz z dystrybucją </w:t>
      </w:r>
      <w:r>
        <w:rPr>
          <w:b/>
          <w:bCs/>
          <w:sz w:val="32"/>
          <w:szCs w:val="32"/>
        </w:rPr>
        <w:t xml:space="preserve">do Ośrodek Rehabilitacyjno- Wypoczynkowy „SYRENA „ w Mielnie </w:t>
      </w:r>
    </w:p>
    <w:p w:rsidR="006F255F" w:rsidRDefault="002834F3" w:rsidP="001528D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6F255F">
        <w:rPr>
          <w:b/>
          <w:bCs/>
          <w:sz w:val="32"/>
          <w:szCs w:val="32"/>
        </w:rPr>
        <w:t>na rok</w:t>
      </w:r>
      <w:r w:rsidR="00F412DD">
        <w:rPr>
          <w:b/>
          <w:bCs/>
          <w:sz w:val="32"/>
          <w:szCs w:val="32"/>
        </w:rPr>
        <w:t xml:space="preserve"> 2025</w:t>
      </w:r>
      <w:r w:rsidR="006F255F">
        <w:rPr>
          <w:b/>
          <w:bCs/>
          <w:sz w:val="32"/>
          <w:szCs w:val="32"/>
        </w:rPr>
        <w:t>”</w:t>
      </w:r>
    </w:p>
    <w:p w:rsidR="003A05E2" w:rsidRDefault="003A05E2" w:rsidP="001528D7">
      <w:pPr>
        <w:pStyle w:val="Default"/>
        <w:rPr>
          <w:b/>
          <w:bCs/>
          <w:sz w:val="32"/>
          <w:szCs w:val="32"/>
        </w:rPr>
      </w:pPr>
    </w:p>
    <w:p w:rsidR="003A05E2" w:rsidRDefault="003A05E2" w:rsidP="001528D7">
      <w:pPr>
        <w:pStyle w:val="Default"/>
        <w:rPr>
          <w:b/>
          <w:bCs/>
          <w:sz w:val="32"/>
          <w:szCs w:val="32"/>
        </w:rPr>
      </w:pPr>
    </w:p>
    <w:p w:rsidR="003A05E2" w:rsidRDefault="003A05E2" w:rsidP="001528D7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</w:t>
      </w:r>
      <w:r w:rsidRPr="003A05E2">
        <w:rPr>
          <w:b/>
          <w:bCs/>
        </w:rPr>
        <w:t xml:space="preserve">Zatwierdził </w:t>
      </w:r>
    </w:p>
    <w:p w:rsidR="003A05E2" w:rsidRDefault="003A05E2" w:rsidP="001528D7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Dyrektor Waldemar Andrzejewski </w:t>
      </w:r>
      <w:r w:rsidRPr="003A05E2">
        <w:rPr>
          <w:b/>
          <w:bCs/>
        </w:rPr>
        <w:t xml:space="preserve"> </w:t>
      </w:r>
    </w:p>
    <w:p w:rsidR="003A05E2" w:rsidRDefault="003A05E2" w:rsidP="001528D7">
      <w:pPr>
        <w:pStyle w:val="Default"/>
        <w:rPr>
          <w:b/>
          <w:bCs/>
        </w:rPr>
      </w:pPr>
    </w:p>
    <w:p w:rsidR="003A05E2" w:rsidRPr="003A05E2" w:rsidRDefault="00C751F9" w:rsidP="00C751F9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F412DD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  <w:r w:rsidR="003A05E2">
        <w:rPr>
          <w:b/>
          <w:bCs/>
        </w:rPr>
        <w:t xml:space="preserve"> </w:t>
      </w:r>
      <w:r>
        <w:rPr>
          <w:b/>
          <w:bCs/>
        </w:rPr>
        <w:t xml:space="preserve">Mielno dn. </w:t>
      </w:r>
      <w:r w:rsidR="005914D5">
        <w:rPr>
          <w:b/>
          <w:bCs/>
        </w:rPr>
        <w:t>13</w:t>
      </w:r>
      <w:r w:rsidR="00F412DD">
        <w:rPr>
          <w:b/>
          <w:bCs/>
        </w:rPr>
        <w:t>.12.2024</w:t>
      </w:r>
      <w:r w:rsidR="00D44998">
        <w:rPr>
          <w:b/>
          <w:bCs/>
        </w:rPr>
        <w:t xml:space="preserve">r.  </w:t>
      </w:r>
    </w:p>
    <w:p w:rsidR="003A05E2" w:rsidRPr="006F255F" w:rsidRDefault="003A05E2" w:rsidP="001528D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BF7DBC" w:rsidRDefault="001528D7" w:rsidP="00BF7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dla zamówienia o wartości zamówienia mniejszej niż progi unijne zgodnie z ustawą ustawy z dnia 11 września 2019 r. Prawo zamówień publicznych </w:t>
      </w:r>
    </w:p>
    <w:p w:rsidR="00BF7DBC" w:rsidRDefault="00BF7DBC" w:rsidP="00BF7DBC">
      <w:pPr>
        <w:pStyle w:val="Default"/>
        <w:rPr>
          <w:sz w:val="23"/>
          <w:szCs w:val="23"/>
        </w:rPr>
      </w:pPr>
    </w:p>
    <w:p w:rsidR="001528D7" w:rsidRDefault="001528D7" w:rsidP="00BF7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NAZWA ORAZ ADRES ZAMAWIAJĄCEGO, NUMER TELEFONU, ADRES POCZTY ELEKTRONICZNEJ ORAZ STRONY INTERNETOWEJ PROWADZONEGO POSTĘPOWANIA </w:t>
      </w:r>
    </w:p>
    <w:p w:rsidR="001528D7" w:rsidRDefault="00BF7DBC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Pozaszkolna Placówka Specjalistyczna</w:t>
      </w:r>
    </w:p>
    <w:p w:rsidR="00BF7DBC" w:rsidRDefault="00BF7DBC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Ośrodek Rehabilitacyjno-Wypoczynkowy „SYRENA” </w:t>
      </w:r>
    </w:p>
    <w:p w:rsidR="00BF7DBC" w:rsidRDefault="00BF7DBC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ul. Piastów 10</w:t>
      </w:r>
    </w:p>
    <w:p w:rsidR="00BF7DBC" w:rsidRDefault="00BF7DBC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76-032 Mielno </w:t>
      </w:r>
    </w:p>
    <w:p w:rsidR="001528D7" w:rsidRDefault="001528D7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</w:t>
      </w:r>
      <w:r w:rsidR="00BF7DBC">
        <w:rPr>
          <w:sz w:val="23"/>
          <w:szCs w:val="23"/>
        </w:rPr>
        <w:t>943166490</w:t>
      </w:r>
      <w:r>
        <w:rPr>
          <w:sz w:val="23"/>
          <w:szCs w:val="23"/>
        </w:rPr>
        <w:t xml:space="preserve"> </w:t>
      </w:r>
    </w:p>
    <w:p w:rsidR="00406ADA" w:rsidRDefault="00406ADA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REGON 320932575</w:t>
      </w:r>
    </w:p>
    <w:p w:rsidR="001528D7" w:rsidRDefault="001528D7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5" w:history="1">
        <w:r w:rsidR="00BF7DBC" w:rsidRPr="005914D5">
          <w:rPr>
            <w:rStyle w:val="Hipercze"/>
            <w:color w:val="auto"/>
            <w:sz w:val="23"/>
            <w:szCs w:val="23"/>
          </w:rPr>
          <w:t>sekretariat@syrena-mielno.pl</w:t>
        </w:r>
      </w:hyperlink>
      <w:r w:rsidR="00BF7DBC" w:rsidRPr="005914D5">
        <w:rPr>
          <w:color w:val="auto"/>
          <w:sz w:val="23"/>
          <w:szCs w:val="23"/>
        </w:rPr>
        <w:t xml:space="preserve"> </w:t>
      </w:r>
      <w:r w:rsidRPr="005914D5">
        <w:rPr>
          <w:color w:val="auto"/>
          <w:sz w:val="23"/>
          <w:szCs w:val="23"/>
        </w:rPr>
        <w:t xml:space="preserve"> </w:t>
      </w:r>
    </w:p>
    <w:p w:rsidR="001528D7" w:rsidRDefault="001528D7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Strona internetowa: </w:t>
      </w:r>
    </w:p>
    <w:p w:rsidR="001528D7" w:rsidRDefault="001528D7" w:rsidP="00152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https://</w:t>
      </w:r>
      <w:r w:rsidR="00BF7DBC">
        <w:rPr>
          <w:sz w:val="23"/>
          <w:szCs w:val="23"/>
        </w:rPr>
        <w:t>www.syrena.ta.pl</w:t>
      </w:r>
      <w:r>
        <w:rPr>
          <w:sz w:val="23"/>
          <w:szCs w:val="23"/>
        </w:rPr>
        <w:t xml:space="preserve"> </w:t>
      </w:r>
    </w:p>
    <w:p w:rsidR="00036F69" w:rsidRDefault="00036F69" w:rsidP="001528D7">
      <w:pPr>
        <w:pStyle w:val="Default"/>
        <w:rPr>
          <w:sz w:val="23"/>
          <w:szCs w:val="23"/>
        </w:rPr>
      </w:pPr>
    </w:p>
    <w:p w:rsidR="001528D7" w:rsidRDefault="001528D7" w:rsidP="001528D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Numer referencyjny: </w:t>
      </w:r>
      <w:r w:rsidR="00C9325D">
        <w:rPr>
          <w:b/>
          <w:sz w:val="23"/>
          <w:szCs w:val="23"/>
        </w:rPr>
        <w:t>9</w:t>
      </w:r>
      <w:r w:rsidR="00146C87" w:rsidRPr="00146C87">
        <w:rPr>
          <w:b/>
          <w:sz w:val="23"/>
          <w:szCs w:val="23"/>
        </w:rPr>
        <w:t>/</w:t>
      </w:r>
      <w:r w:rsidRPr="00146C87">
        <w:rPr>
          <w:b/>
          <w:bCs/>
          <w:sz w:val="23"/>
          <w:szCs w:val="23"/>
        </w:rPr>
        <w:t>ZP</w:t>
      </w:r>
      <w:r w:rsidR="00C9325D">
        <w:rPr>
          <w:b/>
          <w:bCs/>
          <w:sz w:val="23"/>
          <w:szCs w:val="23"/>
        </w:rPr>
        <w:t>G/2024</w:t>
      </w:r>
    </w:p>
    <w:p w:rsidR="00146C87" w:rsidRDefault="00146C87" w:rsidP="001528D7">
      <w:pPr>
        <w:pStyle w:val="Default"/>
        <w:rPr>
          <w:sz w:val="23"/>
          <w:szCs w:val="23"/>
        </w:rPr>
      </w:pPr>
    </w:p>
    <w:p w:rsidR="001528D7" w:rsidRDefault="001528D7" w:rsidP="00146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ADRES STRONY INTERNETOWEJ, NA KTÓREJ UDOSTĘPNIANE BĘDĄ ZMIANY I WYJAŚNIENIA TREŚCI SWZ ORAZ INNE DOKUMENTY ZAMÓWIENIA BEZPOŚREDNIO ZWIĄZANE Z POSTĘPOWANIEM O UDZIELENIE ZAMÓWIENIA </w:t>
      </w:r>
    </w:p>
    <w:p w:rsidR="001528D7" w:rsidRPr="00522ACA" w:rsidRDefault="001528D7" w:rsidP="001528D7">
      <w:pPr>
        <w:pStyle w:val="Default"/>
        <w:rPr>
          <w:sz w:val="23"/>
          <w:szCs w:val="23"/>
        </w:rPr>
      </w:pPr>
    </w:p>
    <w:p w:rsidR="00522ACA" w:rsidRDefault="00522ACA" w:rsidP="00522ACA">
      <w:pPr>
        <w:pStyle w:val="Tekstprzypisudolnego"/>
        <w:numPr>
          <w:ilvl w:val="0"/>
          <w:numId w:val="17"/>
        </w:numPr>
        <w:jc w:val="both"/>
        <w:rPr>
          <w:rFonts w:ascii="Garamond" w:hAnsi="Garamond" w:cs="Arial"/>
          <w:sz w:val="23"/>
          <w:szCs w:val="23"/>
        </w:rPr>
      </w:pPr>
      <w:r w:rsidRPr="00522ACA">
        <w:rPr>
          <w:rFonts w:ascii="Garamond" w:hAnsi="Garamond" w:cs="Arial"/>
          <w:sz w:val="23"/>
          <w:szCs w:val="23"/>
        </w:rPr>
        <w:t>Adres strony internetowej prowadzonego postępowania (link prowadzący bezpośrednio do widoku postępowania na Platformie e-Zamówienia):</w:t>
      </w:r>
    </w:p>
    <w:p w:rsidR="00A46341" w:rsidRPr="00A46341" w:rsidRDefault="00A46341" w:rsidP="00A46341">
      <w:pPr>
        <w:pStyle w:val="Tekstprzypisudolnego"/>
        <w:ind w:left="360"/>
        <w:jc w:val="both"/>
        <w:rPr>
          <w:rFonts w:ascii="Garamond" w:hAnsi="Garamond" w:cs="Arial"/>
          <w:sz w:val="23"/>
          <w:szCs w:val="23"/>
          <w:u w:val="single"/>
        </w:rPr>
      </w:pPr>
      <w:r w:rsidRPr="00A46341">
        <w:rPr>
          <w:rFonts w:ascii="Garamond" w:hAnsi="Garamond" w:cs="Arial"/>
          <w:sz w:val="23"/>
          <w:szCs w:val="23"/>
          <w:u w:val="single"/>
        </w:rPr>
        <w:t>https://ezamowienia.gov.pl/mp-client/tenders/ocds-148610-a4344b19-0780-4a48-a7f2-52b84d303203</w:t>
      </w:r>
    </w:p>
    <w:p w:rsidR="00522ACA" w:rsidRPr="00522ACA" w:rsidRDefault="0038664F" w:rsidP="00522ACA">
      <w:pPr>
        <w:pStyle w:val="Tekstprzypisudolnego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color w:val="FF0000"/>
          <w:sz w:val="23"/>
          <w:szCs w:val="23"/>
        </w:rPr>
        <w:t xml:space="preserve">         </w:t>
      </w:r>
      <w:r w:rsidR="00522ACA" w:rsidRPr="00522ACA">
        <w:rPr>
          <w:rFonts w:ascii="Garamond" w:hAnsi="Garamond" w:cs="Arial"/>
          <w:sz w:val="23"/>
          <w:szCs w:val="23"/>
        </w:rPr>
        <w:t xml:space="preserve">Postępowanie można wyszukać również ze strony głównej Platformy e-Zamówienia (przycisk </w:t>
      </w:r>
      <w:r>
        <w:rPr>
          <w:rFonts w:ascii="Garamond" w:hAnsi="Garamond" w:cs="Arial"/>
          <w:sz w:val="23"/>
          <w:szCs w:val="23"/>
        </w:rPr>
        <w:t xml:space="preserve">          </w:t>
      </w:r>
      <w:r w:rsidR="00522ACA" w:rsidRPr="00522ACA">
        <w:rPr>
          <w:rFonts w:ascii="Garamond" w:hAnsi="Garamond" w:cs="Arial"/>
          <w:sz w:val="23"/>
          <w:szCs w:val="23"/>
        </w:rPr>
        <w:t>„Przeglądaj postępowania/konkursy”).</w:t>
      </w:r>
    </w:p>
    <w:p w:rsidR="00522ACA" w:rsidRDefault="00522ACA" w:rsidP="00522ACA">
      <w:pPr>
        <w:pStyle w:val="Tekstprzypisudolnego"/>
        <w:numPr>
          <w:ilvl w:val="0"/>
          <w:numId w:val="17"/>
        </w:numPr>
        <w:jc w:val="both"/>
        <w:rPr>
          <w:rFonts w:ascii="Garamond" w:hAnsi="Garamond" w:cs="Arial"/>
          <w:sz w:val="23"/>
          <w:szCs w:val="23"/>
        </w:rPr>
      </w:pPr>
      <w:r w:rsidRPr="00522ACA">
        <w:rPr>
          <w:rFonts w:ascii="Garamond" w:hAnsi="Garamond" w:cs="Arial"/>
          <w:sz w:val="23"/>
          <w:szCs w:val="23"/>
        </w:rPr>
        <w:t>Identyfikator (ID) postępowania na Platformie e-Zamówienia:</w:t>
      </w:r>
    </w:p>
    <w:p w:rsidR="00A46341" w:rsidRPr="00A46341" w:rsidRDefault="00A46341" w:rsidP="00A46341">
      <w:pPr>
        <w:pStyle w:val="Tekstprzypisudolnego"/>
        <w:ind w:left="360"/>
        <w:jc w:val="both"/>
        <w:rPr>
          <w:rFonts w:ascii="Garamond" w:hAnsi="Garamond" w:cs="Arial"/>
          <w:sz w:val="23"/>
          <w:szCs w:val="23"/>
          <w:u w:val="single"/>
        </w:rPr>
      </w:pPr>
      <w:r w:rsidRPr="00A46341">
        <w:rPr>
          <w:u w:val="single"/>
        </w:rPr>
        <w:t>ocds-148610-a4344b19-0780-4a48-a7f2-52b84d303203</w:t>
      </w:r>
    </w:p>
    <w:p w:rsidR="00522ACA" w:rsidRPr="00522ACA" w:rsidRDefault="00522ACA" w:rsidP="00522ACA">
      <w:pPr>
        <w:pStyle w:val="Tekstprzypisudolnego"/>
        <w:numPr>
          <w:ilvl w:val="0"/>
          <w:numId w:val="17"/>
        </w:numPr>
        <w:jc w:val="both"/>
        <w:rPr>
          <w:rFonts w:ascii="Garamond" w:hAnsi="Garamond" w:cs="Arial"/>
          <w:sz w:val="23"/>
          <w:szCs w:val="23"/>
        </w:rPr>
      </w:pPr>
      <w:r w:rsidRPr="00522ACA">
        <w:rPr>
          <w:rFonts w:ascii="Garamond" w:hAnsi="Garamond" w:cs="Arial"/>
          <w:sz w:val="23"/>
          <w:szCs w:val="23"/>
        </w:rPr>
        <w:t xml:space="preserve">Dodatkowo Zamawiający zamieszcza informacje bezpośrednio związane z postępowaniem na stronie internetowej </w:t>
      </w:r>
      <w:hyperlink r:id="rId6" w:history="1">
        <w:r w:rsidRPr="00522ACA">
          <w:rPr>
            <w:rStyle w:val="Hipercze"/>
            <w:rFonts w:ascii="Garamond" w:hAnsi="Garamond" w:cs="Arial"/>
            <w:sz w:val="23"/>
            <w:szCs w:val="23"/>
          </w:rPr>
          <w:t>www.syrena.ta.pl</w:t>
        </w:r>
      </w:hyperlink>
    </w:p>
    <w:p w:rsidR="00522ACA" w:rsidRPr="00522ACA" w:rsidRDefault="00522ACA" w:rsidP="00522ACA">
      <w:pPr>
        <w:pStyle w:val="Tekstprzypisudolnego"/>
        <w:jc w:val="both"/>
        <w:rPr>
          <w:rFonts w:ascii="Garamond" w:hAnsi="Garamond" w:cs="Arial"/>
          <w:sz w:val="24"/>
          <w:szCs w:val="24"/>
          <w:u w:val="single"/>
        </w:rPr>
      </w:pPr>
    </w:p>
    <w:p w:rsidR="00146C87" w:rsidRDefault="00146C87" w:rsidP="00146C87">
      <w:pPr>
        <w:pStyle w:val="Default"/>
        <w:rPr>
          <w:b/>
          <w:bCs/>
          <w:sz w:val="23"/>
          <w:szCs w:val="23"/>
        </w:rPr>
      </w:pPr>
    </w:p>
    <w:p w:rsidR="00C9325D" w:rsidRDefault="00C9325D" w:rsidP="00146C87">
      <w:pPr>
        <w:pStyle w:val="Default"/>
        <w:rPr>
          <w:b/>
          <w:bCs/>
          <w:sz w:val="23"/>
          <w:szCs w:val="23"/>
        </w:rPr>
      </w:pPr>
    </w:p>
    <w:p w:rsidR="001528D7" w:rsidRDefault="001528D7" w:rsidP="00146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III. TRYB UDZIELENIA ZAMÓWIENIA </w:t>
      </w:r>
    </w:p>
    <w:p w:rsidR="00406ADA" w:rsidRDefault="001528D7" w:rsidP="00406A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Postępowanie o udzielenie zamówienia publicznego prowadzone w trybie </w:t>
      </w:r>
      <w:r>
        <w:rPr>
          <w:b/>
          <w:bCs/>
          <w:sz w:val="23"/>
          <w:szCs w:val="23"/>
        </w:rPr>
        <w:t xml:space="preserve">podstawowym </w:t>
      </w:r>
      <w:r>
        <w:rPr>
          <w:sz w:val="23"/>
          <w:szCs w:val="23"/>
        </w:rPr>
        <w:t>na podstawie art. 275 pkt 1 ustawy z dnia 11 września 2019 r. Prawo zamówień publicznych</w:t>
      </w:r>
    </w:p>
    <w:p w:rsidR="00406ADA" w:rsidRDefault="001528D7" w:rsidP="00406A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9325D">
        <w:rPr>
          <w:sz w:val="23"/>
          <w:szCs w:val="23"/>
        </w:rPr>
        <w:t>(Dz. U. z 2024 r. poz. 1320</w:t>
      </w:r>
      <w:r w:rsidR="00406ADA">
        <w:rPr>
          <w:sz w:val="23"/>
          <w:szCs w:val="23"/>
        </w:rPr>
        <w:t xml:space="preserve">) zwanej dalej „ustawą </w:t>
      </w:r>
      <w:proofErr w:type="spellStart"/>
      <w:r w:rsidR="00406ADA">
        <w:rPr>
          <w:sz w:val="23"/>
          <w:szCs w:val="23"/>
        </w:rPr>
        <w:t>Pzp</w:t>
      </w:r>
      <w:proofErr w:type="spellEnd"/>
      <w:r w:rsidR="00406ADA">
        <w:rPr>
          <w:sz w:val="23"/>
          <w:szCs w:val="23"/>
        </w:rPr>
        <w:t xml:space="preserve">”. </w:t>
      </w:r>
    </w:p>
    <w:p w:rsidR="00406ADA" w:rsidRPr="00406ADA" w:rsidRDefault="00406ADA" w:rsidP="00406ADA">
      <w:pPr>
        <w:pStyle w:val="Default"/>
        <w:rPr>
          <w:sz w:val="23"/>
          <w:szCs w:val="23"/>
        </w:rPr>
      </w:pPr>
    </w:p>
    <w:p w:rsidR="001528D7" w:rsidRDefault="001528D7" w:rsidP="00406A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INFORMACJA, CZY ZAMAWIAJĄCY PRZEWIDUJE WYBÓR NAJKORZYSTNIEJSZEJ OFERTY Z MOŻLIWOŚCIĄ PROWADZENIA NEGOCJACJI </w:t>
      </w:r>
    </w:p>
    <w:p w:rsidR="003A05E2" w:rsidRPr="00C9325D" w:rsidRDefault="001528D7" w:rsidP="00E55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Zamawiający nie przewiduje możl</w:t>
      </w:r>
      <w:r w:rsidR="00406ADA">
        <w:rPr>
          <w:sz w:val="23"/>
          <w:szCs w:val="23"/>
        </w:rPr>
        <w:t xml:space="preserve">iwości prowadzenia negocjacji. </w:t>
      </w:r>
      <w:r w:rsidR="00406ADA">
        <w:rPr>
          <w:sz w:val="23"/>
          <w:szCs w:val="23"/>
        </w:rPr>
        <w:br/>
      </w:r>
    </w:p>
    <w:p w:rsidR="00E55CEF" w:rsidRDefault="001528D7" w:rsidP="00E55C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OPIS PRZEDMIOTU ZAMÓWIENIA </w:t>
      </w:r>
    </w:p>
    <w:p w:rsidR="00E55CEF" w:rsidRDefault="00E55CEF" w:rsidP="00E55CEF">
      <w:pPr>
        <w:pStyle w:val="Default"/>
        <w:rPr>
          <w:b/>
          <w:bCs/>
          <w:sz w:val="23"/>
          <w:szCs w:val="23"/>
        </w:rPr>
      </w:pPr>
    </w:p>
    <w:p w:rsidR="0047596B" w:rsidRDefault="001C0E24" w:rsidP="0047596B">
      <w:pPr>
        <w:pStyle w:val="Default"/>
        <w:rPr>
          <w:rFonts w:eastAsia="Times New Roman" w:cs="Times New Roman"/>
          <w:color w:val="auto"/>
          <w:sz w:val="23"/>
          <w:szCs w:val="23"/>
          <w:lang w:eastAsia="pl-PL"/>
        </w:rPr>
      </w:pPr>
      <w:r>
        <w:rPr>
          <w:rFonts w:eastAsia="Times New Roman" w:cs="Times New Roman"/>
          <w:color w:val="000000" w:themeColor="text1"/>
          <w:sz w:val="23"/>
          <w:szCs w:val="23"/>
          <w:lang w:eastAsia="pl-PL"/>
        </w:rPr>
        <w:t>1.</w:t>
      </w:r>
      <w:r w:rsidR="00DB115B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061237" w:rsidRPr="00061237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Przedmiotem zamówienia jest </w:t>
      </w:r>
      <w:r w:rsidR="00F44011">
        <w:rPr>
          <w:rFonts w:eastAsia="Times New Roman" w:cs="Times New Roman"/>
          <w:b/>
          <w:color w:val="000000" w:themeColor="text1"/>
          <w:sz w:val="23"/>
          <w:szCs w:val="23"/>
          <w:u w:val="single"/>
          <w:lang w:eastAsia="pl-PL"/>
        </w:rPr>
        <w:t>K</w:t>
      </w:r>
      <w:r w:rsidR="00061237" w:rsidRPr="00C04400">
        <w:rPr>
          <w:rFonts w:eastAsia="Times New Roman" w:cs="Times New Roman"/>
          <w:b/>
          <w:color w:val="000000" w:themeColor="text1"/>
          <w:sz w:val="23"/>
          <w:szCs w:val="23"/>
          <w:u w:val="single"/>
          <w:lang w:eastAsia="pl-PL"/>
        </w:rPr>
        <w:t xml:space="preserve">ompleksowa dostawa obejmująca zakup i świadczenie usługi dystrybucji paliwa gazowego </w:t>
      </w:r>
      <w:r w:rsidR="00C9325D">
        <w:rPr>
          <w:rFonts w:eastAsia="Times New Roman" w:cs="Times New Roman"/>
          <w:b/>
          <w:color w:val="000000" w:themeColor="text1"/>
          <w:sz w:val="23"/>
          <w:szCs w:val="23"/>
          <w:u w:val="single"/>
          <w:lang w:eastAsia="pl-PL"/>
        </w:rPr>
        <w:t>na rok 2025</w:t>
      </w:r>
      <w:r w:rsidR="00DB115B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061237" w:rsidRPr="0047596B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w postaci </w:t>
      </w:r>
      <w:r w:rsidR="00061237" w:rsidRPr="0047596B">
        <w:rPr>
          <w:rFonts w:eastAsia="Times New Roman" w:cs="Times New Roman"/>
          <w:color w:val="auto"/>
          <w:sz w:val="23"/>
          <w:szCs w:val="23"/>
          <w:lang w:eastAsia="pl-PL"/>
        </w:rPr>
        <w:t>gazu zie</w:t>
      </w:r>
      <w:r w:rsidR="00515440" w:rsidRPr="0047596B">
        <w:rPr>
          <w:rFonts w:eastAsia="Times New Roman" w:cs="Times New Roman"/>
          <w:color w:val="auto"/>
          <w:sz w:val="23"/>
          <w:szCs w:val="23"/>
          <w:lang w:eastAsia="pl-PL"/>
        </w:rPr>
        <w:t xml:space="preserve">mnego </w:t>
      </w:r>
      <w:r w:rsidR="00774826" w:rsidRPr="0047596B">
        <w:rPr>
          <w:rFonts w:eastAsia="Times New Roman" w:cs="Times New Roman"/>
          <w:color w:val="auto"/>
          <w:sz w:val="23"/>
          <w:szCs w:val="23"/>
          <w:lang w:eastAsia="pl-PL"/>
        </w:rPr>
        <w:t xml:space="preserve">zaazotowanego typu LS </w:t>
      </w:r>
      <w:r w:rsidR="0047596B" w:rsidRPr="0047596B">
        <w:rPr>
          <w:rFonts w:eastAsia="Times New Roman" w:cs="Times New Roman"/>
          <w:color w:val="auto"/>
          <w:sz w:val="23"/>
          <w:szCs w:val="23"/>
          <w:lang w:eastAsia="pl-PL"/>
        </w:rPr>
        <w:t>do punktów</w:t>
      </w:r>
      <w:r w:rsidR="00061237" w:rsidRPr="0047596B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r w:rsidR="0047596B" w:rsidRPr="0047596B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r w:rsidR="00061237" w:rsidRPr="0047596B">
        <w:rPr>
          <w:rFonts w:eastAsia="Times New Roman" w:cs="Times New Roman"/>
          <w:color w:val="auto"/>
          <w:sz w:val="23"/>
          <w:szCs w:val="23"/>
          <w:lang w:eastAsia="pl-PL"/>
        </w:rPr>
        <w:t>poboru</w:t>
      </w:r>
      <w:r w:rsidR="0047596B" w:rsidRPr="0047596B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r w:rsidR="00274135">
        <w:rPr>
          <w:rFonts w:eastAsia="Times New Roman" w:cs="Times New Roman"/>
          <w:color w:val="auto"/>
          <w:sz w:val="23"/>
          <w:szCs w:val="23"/>
          <w:lang w:eastAsia="pl-PL"/>
        </w:rPr>
        <w:t xml:space="preserve"> poprzez istniejące przyłącza</w:t>
      </w:r>
      <w:r w:rsidR="00DB115B">
        <w:rPr>
          <w:rFonts w:eastAsia="Times New Roman" w:cs="Times New Roman"/>
          <w:color w:val="auto"/>
          <w:sz w:val="23"/>
          <w:szCs w:val="23"/>
          <w:lang w:eastAsia="pl-PL"/>
        </w:rPr>
        <w:t>.</w:t>
      </w:r>
    </w:p>
    <w:p w:rsidR="00DB115B" w:rsidRDefault="00DB115B" w:rsidP="004759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Dostarczanie paliwa gazowego odbywać się będzie na podstawie umowy zawierającej postanowienia umowy sprzedaży i umowy o świadczenie usług przesyłania lub dystrybucji gazu (umowa kompleksowa) i będzie wykonywane zgodnie z przepisami ustawy z dnia 10 kwietnia 1997 r. Prawo energetyczne (Dz. U. z 2022 r. poz. 1385 ze zm.), Kodeksu cywilnego oraz przepisami wykonawczymi wydanymi na ich podstawie.</w:t>
      </w:r>
    </w:p>
    <w:p w:rsidR="00DB115B" w:rsidRPr="0047596B" w:rsidRDefault="00DB115B" w:rsidP="0047596B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3. Punkty poboru paliwa gazowego </w:t>
      </w:r>
      <w:proofErr w:type="spellStart"/>
      <w:r>
        <w:rPr>
          <w:color w:val="auto"/>
          <w:sz w:val="23"/>
          <w:szCs w:val="23"/>
        </w:rPr>
        <w:t>j.n</w:t>
      </w:r>
      <w:proofErr w:type="spellEnd"/>
      <w:r>
        <w:rPr>
          <w:color w:val="auto"/>
          <w:sz w:val="23"/>
          <w:szCs w:val="23"/>
        </w:rPr>
        <w:t xml:space="preserve"> : </w:t>
      </w:r>
    </w:p>
    <w:p w:rsidR="00DB115B" w:rsidRPr="00DB115B" w:rsidRDefault="006A2522" w:rsidP="001C0E24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r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>P</w:t>
      </w:r>
      <w:r w:rsidR="00061237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>unkt poboru</w:t>
      </w:r>
      <w:r w:rsidR="0047596B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 xml:space="preserve"> </w:t>
      </w:r>
      <w:r w:rsidR="006B61B2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>„</w:t>
      </w:r>
      <w:r w:rsidR="0047596B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>A</w:t>
      </w:r>
      <w:r w:rsidR="006B61B2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>”</w:t>
      </w:r>
      <w:r w:rsidR="0020030C" w:rsidRPr="00EC3876">
        <w:rPr>
          <w:rFonts w:eastAsia="Times New Roman" w:cs="Times New Roman"/>
          <w:b/>
          <w:color w:val="auto"/>
          <w:sz w:val="23"/>
          <w:szCs w:val="23"/>
          <w:lang w:eastAsia="pl-PL"/>
        </w:rPr>
        <w:t xml:space="preserve"> główny</w:t>
      </w:r>
      <w:r w:rsidR="0020030C" w:rsidRPr="0020030C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r w:rsidR="00061237" w:rsidRPr="0020030C">
        <w:rPr>
          <w:rFonts w:eastAsia="Times New Roman" w:cs="Times New Roman"/>
          <w:color w:val="auto"/>
          <w:sz w:val="23"/>
          <w:szCs w:val="23"/>
          <w:lang w:eastAsia="pl-PL"/>
        </w:rPr>
        <w:t>:</w:t>
      </w:r>
      <w:r w:rsidR="0020030C" w:rsidRPr="0020030C">
        <w:rPr>
          <w:b/>
          <w:bCs/>
          <w:color w:val="auto"/>
          <w:sz w:val="18"/>
        </w:rPr>
        <w:t xml:space="preserve"> </w:t>
      </w:r>
      <w:r w:rsidR="0020030C" w:rsidRPr="0020030C">
        <w:rPr>
          <w:b/>
          <w:bCs/>
          <w:sz w:val="23"/>
          <w:szCs w:val="23"/>
        </w:rPr>
        <w:t xml:space="preserve">8018590365500019098161 </w:t>
      </w:r>
      <w:r w:rsidR="0020030C">
        <w:rPr>
          <w:b/>
          <w:bCs/>
          <w:sz w:val="23"/>
          <w:szCs w:val="23"/>
        </w:rPr>
        <w:t xml:space="preserve">usytuowany </w:t>
      </w:r>
      <w:r w:rsidR="0020030C" w:rsidRPr="0020030C">
        <w:rPr>
          <w:b/>
          <w:bCs/>
          <w:sz w:val="23"/>
          <w:szCs w:val="23"/>
        </w:rPr>
        <w:t>Mielno ul. Piastów 10</w:t>
      </w:r>
      <w:r w:rsidR="0020030C">
        <w:rPr>
          <w:b/>
          <w:bCs/>
          <w:sz w:val="18"/>
        </w:rPr>
        <w:t xml:space="preserve"> </w:t>
      </w:r>
      <w:r w:rsidR="001F4381">
        <w:rPr>
          <w:rFonts w:eastAsia="Times New Roman" w:cs="Times New Roman"/>
          <w:color w:val="FF0000"/>
          <w:sz w:val="23"/>
          <w:szCs w:val="23"/>
          <w:lang w:eastAsia="pl-PL"/>
        </w:rPr>
        <w:t xml:space="preserve">, </w:t>
      </w:r>
      <w:r w:rsidR="001F4381" w:rsidRPr="001F4381">
        <w:rPr>
          <w:rFonts w:eastAsia="Times New Roman" w:cs="Times New Roman"/>
          <w:color w:val="auto"/>
          <w:sz w:val="23"/>
          <w:szCs w:val="23"/>
          <w:lang w:eastAsia="pl-PL"/>
        </w:rPr>
        <w:t>ciśnienie minimalne 1,8</w:t>
      </w:r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proofErr w:type="spellStart"/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>kPa</w:t>
      </w:r>
      <w:proofErr w:type="spellEnd"/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 xml:space="preserve"> </w:t>
      </w:r>
      <w:r w:rsidR="001F4381">
        <w:rPr>
          <w:rFonts w:eastAsia="Times New Roman" w:cs="Times New Roman"/>
          <w:color w:val="FF0000"/>
          <w:sz w:val="23"/>
          <w:szCs w:val="23"/>
          <w:lang w:eastAsia="pl-PL"/>
        </w:rPr>
        <w:t xml:space="preserve">, </w:t>
      </w:r>
      <w:r w:rsidR="001F4381" w:rsidRPr="001F4381">
        <w:rPr>
          <w:rFonts w:eastAsia="Times New Roman" w:cs="Times New Roman"/>
          <w:color w:val="auto"/>
          <w:sz w:val="23"/>
          <w:szCs w:val="23"/>
          <w:lang w:eastAsia="pl-PL"/>
        </w:rPr>
        <w:t>ciśnienie maksymalne 40</w:t>
      </w:r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 xml:space="preserve">0,00 </w:t>
      </w:r>
      <w:proofErr w:type="spellStart"/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>kPa</w:t>
      </w:r>
      <w:proofErr w:type="spellEnd"/>
      <w:r w:rsidR="00061237" w:rsidRPr="0047596B">
        <w:rPr>
          <w:rFonts w:eastAsia="Times New Roman" w:cs="Times New Roman"/>
          <w:color w:val="FF0000"/>
          <w:sz w:val="23"/>
          <w:szCs w:val="23"/>
          <w:lang w:eastAsia="pl-PL"/>
        </w:rPr>
        <w:t xml:space="preserve">. </w:t>
      </w:r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 xml:space="preserve">Moc przyłączeniowa </w:t>
      </w:r>
      <w:r w:rsidR="001F4381" w:rsidRPr="001F4381">
        <w:rPr>
          <w:rFonts w:eastAsia="Times New Roman" w:cs="Times New Roman"/>
          <w:color w:val="auto"/>
          <w:sz w:val="23"/>
          <w:szCs w:val="23"/>
          <w:lang w:eastAsia="pl-PL"/>
        </w:rPr>
        <w:t>54</w:t>
      </w:r>
      <w:r w:rsidR="00061237" w:rsidRPr="001F4381">
        <w:rPr>
          <w:rFonts w:eastAsia="Times New Roman" w:cs="Times New Roman"/>
          <w:color w:val="auto"/>
          <w:sz w:val="23"/>
          <w:szCs w:val="23"/>
          <w:lang w:eastAsia="pl-PL"/>
        </w:rPr>
        <w:t xml:space="preserve">m3/h, </w:t>
      </w:r>
      <w:r w:rsidR="00061237" w:rsidRPr="000072CA">
        <w:rPr>
          <w:rFonts w:eastAsia="Times New Roman" w:cs="Times New Roman"/>
          <w:color w:val="auto"/>
          <w:sz w:val="23"/>
          <w:szCs w:val="23"/>
          <w:lang w:eastAsia="pl-PL"/>
        </w:rPr>
        <w:t xml:space="preserve">moc umowna </w:t>
      </w:r>
      <w:r w:rsidR="000072CA" w:rsidRPr="000072CA">
        <w:rPr>
          <w:rFonts w:eastAsia="Times New Roman" w:cs="Times New Roman"/>
          <w:color w:val="auto"/>
          <w:sz w:val="23"/>
          <w:szCs w:val="23"/>
          <w:lang w:eastAsia="pl-PL"/>
        </w:rPr>
        <w:t xml:space="preserve">624 </w:t>
      </w:r>
      <w:r w:rsidR="00061237" w:rsidRPr="000072CA">
        <w:rPr>
          <w:rFonts w:eastAsia="Times New Roman" w:cs="Times New Roman"/>
          <w:color w:val="auto"/>
          <w:sz w:val="23"/>
          <w:szCs w:val="23"/>
          <w:lang w:eastAsia="pl-PL"/>
        </w:rPr>
        <w:t xml:space="preserve">kWh/h </w:t>
      </w:r>
    </w:p>
    <w:p w:rsidR="00DB115B" w:rsidRDefault="00DB115B" w:rsidP="00DB115B">
      <w:pPr>
        <w:pStyle w:val="Default"/>
        <w:ind w:left="360"/>
        <w:rPr>
          <w:rFonts w:eastAsia="Times New Roman" w:cs="Times New Roman"/>
          <w:color w:val="FF0000"/>
          <w:sz w:val="23"/>
          <w:szCs w:val="23"/>
          <w:lang w:eastAsia="pl-PL"/>
        </w:rPr>
      </w:pPr>
    </w:p>
    <w:p w:rsidR="00061237" w:rsidRPr="00DB115B" w:rsidRDefault="00061237" w:rsidP="00DB115B">
      <w:pPr>
        <w:pStyle w:val="Default"/>
        <w:ind w:left="360"/>
        <w:rPr>
          <w:b/>
          <w:bCs/>
          <w:sz w:val="23"/>
          <w:szCs w:val="23"/>
        </w:rPr>
      </w:pPr>
      <w:r w:rsidRPr="0047596B">
        <w:rPr>
          <w:rFonts w:eastAsia="Times New Roman" w:cs="Times New Roman"/>
          <w:color w:val="FF0000"/>
          <w:sz w:val="23"/>
          <w:szCs w:val="23"/>
          <w:lang w:eastAsia="pl-PL"/>
        </w:rPr>
        <w:t xml:space="preserve"> </w:t>
      </w:r>
      <w:r w:rsidR="00A1260A">
        <w:rPr>
          <w:rFonts w:eastAsia="Times New Roman" w:cs="Times New Roman"/>
          <w:color w:val="auto"/>
          <w:sz w:val="23"/>
          <w:szCs w:val="23"/>
          <w:lang w:eastAsia="pl-PL"/>
        </w:rPr>
        <w:t>Łączna</w:t>
      </w:r>
      <w:r w:rsidRPr="006B61B2">
        <w:rPr>
          <w:rFonts w:eastAsia="Times New Roman" w:cs="Times New Roman"/>
          <w:color w:val="auto"/>
          <w:sz w:val="23"/>
          <w:szCs w:val="23"/>
          <w:lang w:eastAsia="pl-PL"/>
        </w:rPr>
        <w:t xml:space="preserve"> ilość paliwa gazowego, która będzie dostarczona w okresie obowiązywania umowy do punktu poboru </w:t>
      </w:r>
      <w:r w:rsidR="0020030C" w:rsidRPr="006B61B2">
        <w:rPr>
          <w:b/>
          <w:bCs/>
          <w:color w:val="auto"/>
          <w:sz w:val="23"/>
          <w:szCs w:val="23"/>
        </w:rPr>
        <w:t>8018590365500019098161</w:t>
      </w:r>
      <w:r w:rsidR="0020030C" w:rsidRPr="006B61B2">
        <w:rPr>
          <w:b/>
          <w:bCs/>
          <w:sz w:val="23"/>
          <w:szCs w:val="23"/>
        </w:rPr>
        <w:t xml:space="preserve"> </w:t>
      </w:r>
      <w:r w:rsidRPr="00EC3876">
        <w:rPr>
          <w:rFonts w:eastAsia="Times New Roman" w:cs="Times New Roman"/>
          <w:color w:val="auto"/>
          <w:sz w:val="23"/>
          <w:szCs w:val="23"/>
          <w:lang w:eastAsia="pl-PL"/>
        </w:rPr>
        <w:t xml:space="preserve">szacuje się </w:t>
      </w:r>
      <w:r w:rsidRPr="00EC3876">
        <w:rPr>
          <w:rFonts w:eastAsia="Times New Roman" w:cs="Times New Roman"/>
          <w:b/>
          <w:bCs/>
          <w:color w:val="auto"/>
          <w:sz w:val="23"/>
          <w:szCs w:val="23"/>
          <w:lang w:eastAsia="pl-PL"/>
        </w:rPr>
        <w:t xml:space="preserve">na </w:t>
      </w:r>
      <w:r w:rsidR="00EC3876" w:rsidRPr="00EC3876">
        <w:rPr>
          <w:rFonts w:eastAsia="Times New Roman" w:cs="Times New Roman"/>
          <w:b/>
          <w:bCs/>
          <w:color w:val="auto"/>
          <w:sz w:val="23"/>
          <w:szCs w:val="23"/>
          <w:lang w:eastAsia="pl-PL"/>
        </w:rPr>
        <w:t xml:space="preserve">1.285.392 </w:t>
      </w:r>
      <w:r w:rsidRPr="00EC3876">
        <w:rPr>
          <w:rFonts w:eastAsia="Times New Roman" w:cs="Times New Roman"/>
          <w:b/>
          <w:bCs/>
          <w:color w:val="auto"/>
          <w:sz w:val="23"/>
          <w:szCs w:val="23"/>
          <w:lang w:eastAsia="pl-PL"/>
        </w:rPr>
        <w:t>kWh</w:t>
      </w:r>
      <w:r w:rsidRPr="006B61B2">
        <w:rPr>
          <w:rFonts w:eastAsia="Times New Roman" w:cs="Times New Roman"/>
          <w:color w:val="FF0000"/>
          <w:sz w:val="23"/>
          <w:szCs w:val="23"/>
          <w:lang w:eastAsia="pl-PL"/>
        </w:rPr>
        <w:t xml:space="preserve">. </w:t>
      </w:r>
      <w:r w:rsidR="00C04400" w:rsidRPr="005C6864">
        <w:rPr>
          <w:rFonts w:eastAsia="Times New Roman" w:cs="Times New Roman"/>
          <w:color w:val="auto"/>
          <w:sz w:val="23"/>
          <w:szCs w:val="23"/>
          <w:lang w:eastAsia="pl-PL"/>
        </w:rPr>
        <w:t>zał. 2.1 do SWZ</w:t>
      </w:r>
    </w:p>
    <w:p w:rsidR="00DB115B" w:rsidRPr="006B61B2" w:rsidRDefault="00DB115B" w:rsidP="00DB115B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W w:w="5338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24"/>
      </w:tblGrid>
      <w:tr w:rsidR="0020030C" w:rsidRPr="0047596B" w:rsidTr="0020030C">
        <w:trPr>
          <w:trHeight w:val="615"/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Miesiąc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Prognozowane zużycie gazu ziemnego w poszczególnych miesiącach roku (kWh)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styczeń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138.220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luty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172.369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marz</w:t>
            </w:r>
            <w:r w:rsidR="00A1260A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e</w:t>
            </w: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104.272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kwiecień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144.238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maj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56.330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czerwiec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43.211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lipiec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44.801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sierpień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37.668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wrzesień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47.870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październik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145.742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Listopad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190.769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grudzień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159.897</w:t>
            </w:r>
          </w:p>
        </w:tc>
      </w:tr>
      <w:tr w:rsidR="0020030C" w:rsidRPr="0047596B" w:rsidTr="0020030C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6B61B2" w:rsidRDefault="0020030C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RAZEM/ROK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0030C" w:rsidRPr="005914D5" w:rsidRDefault="00EC3876" w:rsidP="00061237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1.285.392</w:t>
            </w:r>
          </w:p>
        </w:tc>
      </w:tr>
    </w:tbl>
    <w:p w:rsidR="006B61B2" w:rsidRDefault="006B61B2" w:rsidP="006A2522">
      <w:pPr>
        <w:spacing w:beforeAutospacing="1" w:after="0" w:afterAutospacing="1" w:line="276" w:lineRule="auto"/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</w:pPr>
      <w:r w:rsidRPr="006B61B2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Powyższy punkt poboru jest obecnie objęty umową kompleksową z PGNiG Obrót Detaliczny Sp. z o.o. Wykonawca będzie zobligowany do dopełnienia formalności związanych ze zmianą Sprzedawcy, jeżeli Sprzedawcą będzie inny podmiot</w:t>
      </w:r>
    </w:p>
    <w:p w:rsidR="00061237" w:rsidRPr="001E3881" w:rsidRDefault="00061237" w:rsidP="006A2522">
      <w:pPr>
        <w:spacing w:beforeAutospacing="1" w:after="0" w:afterAutospacing="1" w:line="276" w:lineRule="auto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20030C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Grupa taryfowa</w:t>
      </w:r>
      <w:r w:rsidR="00F25055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 </w:t>
      </w:r>
      <w:r w:rsidR="00F25055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OSD</w:t>
      </w:r>
      <w:r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, </w:t>
      </w:r>
      <w:r w:rsidRPr="0020030C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do której </w:t>
      </w:r>
      <w:r w:rsidR="001354EB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był zakwalifikowany pkt poboru: </w:t>
      </w:r>
      <w:r w:rsidR="00F12A0F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LS  - 6.</w:t>
      </w:r>
      <w:r w:rsidR="001E3881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1 </w:t>
      </w:r>
    </w:p>
    <w:p w:rsidR="006A2522" w:rsidRPr="001C0E24" w:rsidRDefault="001C0E24" w:rsidP="001C0E24">
      <w:pPr>
        <w:spacing w:beforeAutospacing="1" w:after="0" w:afterAutospacing="1" w:line="276" w:lineRule="auto"/>
        <w:ind w:left="360"/>
        <w:rPr>
          <w:rFonts w:eastAsia="Times New Roman" w:cs="Times New Roman"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>B)</w:t>
      </w:r>
      <w:r w:rsidR="006A2522" w:rsidRPr="001C0E24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="006A2522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 xml:space="preserve">Punkt poboru </w:t>
      </w:r>
      <w:r w:rsidR="006B61B2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>„</w:t>
      </w:r>
      <w:r w:rsidR="006A2522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>B</w:t>
      </w:r>
      <w:r w:rsidR="006B61B2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>”</w:t>
      </w:r>
      <w:r w:rsidR="006A2522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 xml:space="preserve"> Kuchnia</w:t>
      </w:r>
      <w:r w:rsidR="006A2522" w:rsidRPr="00EC3876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6A2522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>:</w:t>
      </w:r>
      <w:r w:rsidR="006A2522" w:rsidRPr="001C0E24">
        <w:rPr>
          <w:rFonts w:ascii="Garamond" w:hAnsi="Garamond"/>
          <w:b/>
          <w:bCs/>
          <w:sz w:val="23"/>
          <w:szCs w:val="23"/>
        </w:rPr>
        <w:t xml:space="preserve"> 8018590365500051448542</w:t>
      </w:r>
      <w:r w:rsidR="006A2522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6A2522" w:rsidRPr="001C0E24">
        <w:rPr>
          <w:rFonts w:ascii="Garamond" w:hAnsi="Garamond"/>
          <w:b/>
          <w:bCs/>
          <w:sz w:val="23"/>
          <w:szCs w:val="23"/>
        </w:rPr>
        <w:t>usytuowany Mielno ul. Piastów 10</w:t>
      </w:r>
      <w:r w:rsidR="006A2522" w:rsidRPr="001C0E24">
        <w:rPr>
          <w:rFonts w:ascii="Garamond" w:hAnsi="Garamond"/>
          <w:b/>
          <w:bCs/>
          <w:sz w:val="18"/>
        </w:rPr>
        <w:t xml:space="preserve"> </w:t>
      </w:r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,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ciśnienie minimalne 1,05 </w:t>
      </w:r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proofErr w:type="spellStart"/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kPa</w:t>
      </w:r>
      <w:proofErr w:type="spellEnd"/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,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ciśnienie maksymalne 3,7</w:t>
      </w:r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proofErr w:type="spellStart"/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kPa</w:t>
      </w:r>
      <w:proofErr w:type="spellEnd"/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.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Moc przyłączeniowa 4,2</w:t>
      </w:r>
      <w:r w:rsidR="006A2522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m3/h,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moc umowna 110</w:t>
      </w:r>
      <w:r w:rsidR="001F4381">
        <w:rPr>
          <w:rFonts w:ascii="Garamond" w:eastAsia="Times New Roman" w:hAnsi="Garamond" w:cs="Times New Roman"/>
          <w:sz w:val="23"/>
          <w:szCs w:val="23"/>
          <w:lang w:eastAsia="pl-PL"/>
        </w:rPr>
        <w:t>kWh/h.</w:t>
      </w:r>
    </w:p>
    <w:p w:rsidR="00061237" w:rsidRPr="006A2522" w:rsidRDefault="00061237" w:rsidP="00061237">
      <w:pPr>
        <w:spacing w:beforeAutospacing="1" w:after="0" w:afterAutospacing="1" w:line="276" w:lineRule="auto"/>
        <w:ind w:left="363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6A2522">
        <w:rPr>
          <w:rFonts w:ascii="Garamond" w:eastAsia="Times New Roman" w:hAnsi="Garamond" w:cs="Times New Roman"/>
          <w:sz w:val="23"/>
          <w:szCs w:val="23"/>
          <w:lang w:eastAsia="pl-PL"/>
        </w:rPr>
        <w:t>Ł</w:t>
      </w:r>
      <w:r w:rsidR="00A1260A">
        <w:rPr>
          <w:rFonts w:ascii="Garamond" w:eastAsia="Times New Roman" w:hAnsi="Garamond" w:cs="Times New Roman"/>
          <w:sz w:val="23"/>
          <w:szCs w:val="23"/>
          <w:lang w:eastAsia="pl-PL"/>
        </w:rPr>
        <w:t>ączna</w:t>
      </w:r>
      <w:r w:rsidRPr="006A252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ilość paliwa gazowego, która będzie dostarczona w okresie obowiązywania umowy do punktu poboru</w:t>
      </w:r>
      <w:r w:rsidRPr="006A2522">
        <w:rPr>
          <w:rFonts w:ascii="Garamond" w:eastAsia="Times New Roman" w:hAnsi="Garamond" w:cs="Arial"/>
          <w:sz w:val="23"/>
          <w:szCs w:val="23"/>
          <w:lang w:eastAsia="pl-PL"/>
        </w:rPr>
        <w:t> </w:t>
      </w:r>
      <w:r w:rsidRPr="006A252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6A2522" w:rsidRPr="006A2522">
        <w:rPr>
          <w:rFonts w:ascii="Garamond" w:hAnsi="Garamond"/>
          <w:b/>
          <w:bCs/>
          <w:sz w:val="23"/>
          <w:szCs w:val="23"/>
        </w:rPr>
        <w:t xml:space="preserve">8018590365500051448542 </w:t>
      </w:r>
      <w:r w:rsidRPr="00EC3876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szacuje się </w:t>
      </w:r>
      <w:r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na </w:t>
      </w:r>
      <w:r w:rsidR="00EC3876"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24.670 </w:t>
      </w:r>
      <w:r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kWh</w:t>
      </w:r>
      <w:r w:rsidRPr="006A252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. </w:t>
      </w:r>
      <w:r w:rsidR="00C04400">
        <w:rPr>
          <w:rFonts w:ascii="Garamond" w:eastAsia="Times New Roman" w:hAnsi="Garamond" w:cs="Times New Roman"/>
          <w:sz w:val="23"/>
          <w:szCs w:val="23"/>
          <w:lang w:eastAsia="pl-PL"/>
        </w:rPr>
        <w:t>zał. 2.2 do SWZ</w:t>
      </w:r>
    </w:p>
    <w:tbl>
      <w:tblPr>
        <w:tblW w:w="4995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124"/>
      </w:tblGrid>
      <w:tr w:rsidR="0047596B" w:rsidRPr="0047596B" w:rsidTr="00C6350D">
        <w:trPr>
          <w:trHeight w:val="615"/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1237" w:rsidRPr="006B61B2" w:rsidRDefault="00061237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Miesiąc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61237" w:rsidRPr="006B61B2" w:rsidRDefault="00061237" w:rsidP="00061237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Prognozowane zużycie gazu ziemnego w poszczególnych miesiącach roku (kWh)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styczeń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1.800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luty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2.385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marzec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kwiecień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maj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2.485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czerwiec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lipiec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sierpień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wrzesień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październik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1.800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listopad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1.800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6B61B2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grudzień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1.800</w:t>
            </w:r>
          </w:p>
        </w:tc>
      </w:tr>
      <w:tr w:rsidR="0047596B" w:rsidRPr="0047596B" w:rsidTr="00C6350D">
        <w:trPr>
          <w:tblCellSpacing w:w="0" w:type="dxa"/>
        </w:trPr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47596B" w:rsidRDefault="00061237" w:rsidP="00061237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color w:val="FF0000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RAZEM/ROK </w:t>
            </w:r>
          </w:p>
        </w:tc>
        <w:tc>
          <w:tcPr>
            <w:tcW w:w="31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061237" w:rsidRPr="005914D5" w:rsidRDefault="00EC3876" w:rsidP="00EC387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24.670</w:t>
            </w:r>
          </w:p>
        </w:tc>
      </w:tr>
    </w:tbl>
    <w:p w:rsidR="00061237" w:rsidRDefault="00061237" w:rsidP="00061237">
      <w:pPr>
        <w:spacing w:before="102" w:after="102" w:line="240" w:lineRule="auto"/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</w:pPr>
      <w:r w:rsidRPr="006B61B2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Powyższy punkt poboru jest obecnie objęty umową kompleksową z PGNiG Obrót Detaliczny Sp. z o.o. Wykonawca będzie zobligowany do dopełnienia formalności związanych ze zmianą Sprzedawcy, jeżeli Sprzedawcą będzie inny podmiot.</w:t>
      </w:r>
    </w:p>
    <w:p w:rsidR="00A1260A" w:rsidRPr="001E3881" w:rsidRDefault="00A1260A" w:rsidP="00DB115B">
      <w:pPr>
        <w:spacing w:beforeAutospacing="1" w:after="0" w:afterAutospacing="1" w:line="276" w:lineRule="auto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Grupa taryfowa</w:t>
      </w:r>
      <w:r w:rsidR="00F25055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 OSD</w:t>
      </w:r>
      <w:r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, do której był zakwalifikowany pkt poboru: </w:t>
      </w:r>
      <w:r w:rsidR="00F12A0F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LS – 3.</w:t>
      </w:r>
      <w:r w:rsidR="001E3881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6</w:t>
      </w:r>
    </w:p>
    <w:p w:rsidR="00A1260A" w:rsidRPr="001C0E24" w:rsidRDefault="001C0E24" w:rsidP="001C0E24">
      <w:pPr>
        <w:spacing w:before="102" w:after="102" w:line="240" w:lineRule="auto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>C</w:t>
      </w:r>
      <w:r>
        <w:rPr>
          <w:rFonts w:ascii="Garamond" w:eastAsia="Times New Roman" w:hAnsi="Garamond" w:cs="Times New Roman"/>
          <w:sz w:val="23"/>
          <w:szCs w:val="23"/>
          <w:lang w:eastAsia="pl-PL"/>
        </w:rPr>
        <w:t>)</w:t>
      </w:r>
      <w:r w:rsidR="00A1260A" w:rsidRPr="00EC3876">
        <w:rPr>
          <w:rFonts w:ascii="Garamond" w:eastAsia="Times New Roman" w:hAnsi="Garamond" w:cs="Times New Roman"/>
          <w:b/>
          <w:sz w:val="23"/>
          <w:szCs w:val="23"/>
          <w:lang w:eastAsia="pl-PL"/>
        </w:rPr>
        <w:t>Punkt poboru „C” Pralnia</w:t>
      </w:r>
      <w:r w:rsidR="00A1260A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:</w:t>
      </w:r>
      <w:r w:rsidR="00A1260A" w:rsidRPr="001C0E24">
        <w:rPr>
          <w:rFonts w:ascii="Garamond" w:hAnsi="Garamond"/>
          <w:b/>
          <w:bCs/>
          <w:sz w:val="23"/>
          <w:szCs w:val="23"/>
        </w:rPr>
        <w:t xml:space="preserve"> 8018590365500051448351 usytuowany Mielno ul. Piastów 10 </w:t>
      </w:r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,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ciśnienie minimalne 1,05</w:t>
      </w:r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proofErr w:type="spellStart"/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kPa</w:t>
      </w:r>
      <w:proofErr w:type="spellEnd"/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,</w:t>
      </w:r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ciśnienie maksymalne 3,7</w:t>
      </w:r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proofErr w:type="spellStart"/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kPa</w:t>
      </w:r>
      <w:proofErr w:type="spellEnd"/>
      <w:r w:rsidR="001F4381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t xml:space="preserve">.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Moc przyłączeniowa 9</w:t>
      </w:r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m3/h,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moc umowna 110</w:t>
      </w:r>
      <w:r w:rsidR="00A1260A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kWh/h </w:t>
      </w:r>
      <w:r w:rsidR="001F4381" w:rsidRPr="001F4381">
        <w:rPr>
          <w:rFonts w:ascii="Garamond" w:eastAsia="Times New Roman" w:hAnsi="Garamond" w:cs="Times New Roman"/>
          <w:sz w:val="23"/>
          <w:szCs w:val="23"/>
          <w:lang w:eastAsia="pl-PL"/>
        </w:rPr>
        <w:t>.</w:t>
      </w:r>
    </w:p>
    <w:p w:rsidR="00A1260A" w:rsidRPr="00A1260A" w:rsidRDefault="00A1260A" w:rsidP="00A1260A">
      <w:pPr>
        <w:spacing w:beforeAutospacing="1" w:after="0" w:afterAutospacing="1" w:line="276" w:lineRule="auto"/>
        <w:ind w:left="360"/>
        <w:rPr>
          <w:rFonts w:ascii="Garamond" w:eastAsia="Times New Roman" w:hAnsi="Garamond" w:cs="Times New Roman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sz w:val="23"/>
          <w:szCs w:val="23"/>
          <w:lang w:eastAsia="pl-PL"/>
        </w:rPr>
        <w:t>Łączna</w:t>
      </w:r>
      <w:r w:rsidRPr="00A1260A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ilość paliwa gazowego, która będzie dostarczona w okresie obowiązywania umowy do punktu poboru</w:t>
      </w:r>
      <w:r w:rsidRPr="00A1260A">
        <w:rPr>
          <w:rFonts w:ascii="Garamond" w:eastAsia="Times New Roman" w:hAnsi="Garamond" w:cs="Arial"/>
          <w:sz w:val="23"/>
          <w:szCs w:val="23"/>
          <w:lang w:eastAsia="pl-PL"/>
        </w:rPr>
        <w:t> </w:t>
      </w:r>
      <w:r w:rsidRPr="00A1260A">
        <w:rPr>
          <w:rFonts w:ascii="Garamond" w:hAnsi="Garamond"/>
          <w:b/>
          <w:bCs/>
          <w:sz w:val="23"/>
          <w:szCs w:val="23"/>
        </w:rPr>
        <w:t xml:space="preserve">8018590365500051448351 </w:t>
      </w:r>
      <w:r w:rsidRPr="00A1260A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Pr="00A1260A">
        <w:rPr>
          <w:rFonts w:ascii="Garamond" w:hAnsi="Garamond"/>
          <w:b/>
          <w:bCs/>
          <w:sz w:val="23"/>
          <w:szCs w:val="23"/>
        </w:rPr>
        <w:t xml:space="preserve"> </w:t>
      </w:r>
      <w:r w:rsidRPr="00EC3876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szacuje się </w:t>
      </w:r>
      <w:r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na </w:t>
      </w:r>
      <w:r w:rsidR="00EC3876"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26.064 </w:t>
      </w:r>
      <w:r w:rsidRPr="00EC3876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 kWh</w:t>
      </w:r>
      <w:r w:rsidRPr="00EC3876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. </w:t>
      </w:r>
      <w:r w:rsidR="00C04400">
        <w:rPr>
          <w:rFonts w:ascii="Garamond" w:eastAsia="Times New Roman" w:hAnsi="Garamond" w:cs="Times New Roman"/>
          <w:sz w:val="23"/>
          <w:szCs w:val="23"/>
          <w:lang w:eastAsia="pl-PL"/>
        </w:rPr>
        <w:t>zał. 2.3 do SWZ</w:t>
      </w:r>
    </w:p>
    <w:tbl>
      <w:tblPr>
        <w:tblW w:w="5338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24"/>
      </w:tblGrid>
      <w:tr w:rsidR="00A1260A" w:rsidRPr="006B61B2" w:rsidTr="00896BC3">
        <w:trPr>
          <w:trHeight w:val="615"/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Miesiąc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Prognozowane zużycie gazu ziemnego w poszczególnych miesiącach roku (kWh)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styczeń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luty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marz</w:t>
            </w:r>
            <w:r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e</w:t>
            </w: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kwiecień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maj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czerwiec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lipiec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sierpień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wrzesień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lastRenderedPageBreak/>
              <w:t>październik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Listopad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grudzień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2.172</w:t>
            </w:r>
          </w:p>
        </w:tc>
      </w:tr>
      <w:tr w:rsidR="00A1260A" w:rsidRPr="006B61B2" w:rsidTr="00896BC3">
        <w:trPr>
          <w:tblCellSpacing w:w="0" w:type="dxa"/>
        </w:trPr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6B61B2" w:rsidRDefault="00A1260A" w:rsidP="00896BC3">
            <w:pPr>
              <w:spacing w:beforeAutospacing="1" w:after="0" w:afterAutospacing="1" w:line="240" w:lineRule="auto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6B61B2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pl-PL"/>
              </w:rPr>
              <w:t>RAZEM/ROK</w:t>
            </w:r>
          </w:p>
        </w:tc>
        <w:tc>
          <w:tcPr>
            <w:tcW w:w="3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60A" w:rsidRPr="005914D5" w:rsidRDefault="00EC3876" w:rsidP="00896BC3">
            <w:pPr>
              <w:spacing w:beforeAutospacing="1" w:after="0" w:afterAutospacing="1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</w:pPr>
            <w:r w:rsidRPr="005914D5">
              <w:rPr>
                <w:rFonts w:ascii="Garamond" w:eastAsia="Times New Roman" w:hAnsi="Garamond" w:cs="Times New Roman"/>
                <w:sz w:val="23"/>
                <w:szCs w:val="23"/>
                <w:lang w:eastAsia="pl-PL"/>
              </w:rPr>
              <w:t>26.064</w:t>
            </w:r>
          </w:p>
        </w:tc>
      </w:tr>
    </w:tbl>
    <w:p w:rsidR="00A1260A" w:rsidRDefault="00A1260A" w:rsidP="00A1260A">
      <w:pPr>
        <w:spacing w:before="102" w:after="102" w:line="240" w:lineRule="auto"/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</w:pPr>
      <w:r w:rsidRPr="006B61B2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Powyższy punkt poboru jest obecnie objęty umową kompleksową z PGNiG Obrót Detaliczny Sp. z o.o. Wykonawca będzie zobligowany do dopełnienia formalności związanych ze zmianą Sprzedawcy, jeżeli Sprzedawcą będzie inny podmiot.</w:t>
      </w:r>
    </w:p>
    <w:p w:rsidR="00A1260A" w:rsidRPr="001E3881" w:rsidRDefault="00A1260A" w:rsidP="00A1260A">
      <w:pPr>
        <w:spacing w:beforeAutospacing="1" w:after="0" w:afterAutospacing="1" w:line="276" w:lineRule="auto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Grupa taryfowa</w:t>
      </w:r>
      <w:r w:rsidR="00F25055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 OSD</w:t>
      </w:r>
      <w:r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, do której był zakwalifikowany pkt poboru: </w:t>
      </w:r>
      <w:r w:rsidR="00F12A0F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>LS – 3.</w:t>
      </w:r>
      <w:r w:rsidR="001E3881" w:rsidRPr="001E3881">
        <w:rPr>
          <w:rFonts w:ascii="Garamond" w:eastAsia="Times New Roman" w:hAnsi="Garamond" w:cs="Times New Roman"/>
          <w:b/>
          <w:bCs/>
          <w:sz w:val="23"/>
          <w:szCs w:val="23"/>
          <w:lang w:eastAsia="pl-PL"/>
        </w:rPr>
        <w:t xml:space="preserve">6 </w:t>
      </w:r>
    </w:p>
    <w:p w:rsidR="00061237" w:rsidRPr="00A255C5" w:rsidRDefault="00A255C5" w:rsidP="003A05E2">
      <w:pPr>
        <w:spacing w:beforeAutospacing="1" w:after="0" w:afterAutospacing="1" w:line="276" w:lineRule="auto"/>
        <w:rPr>
          <w:rFonts w:ascii="Garamond" w:eastAsia="Times New Roman" w:hAnsi="Garamond" w:cs="Times New Roman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sz w:val="23"/>
          <w:szCs w:val="23"/>
          <w:lang w:eastAsia="pl-PL"/>
        </w:rPr>
        <w:t>4.</w:t>
      </w:r>
      <w:r w:rsidR="001C0E2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061237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>Po</w:t>
      </w:r>
      <w:r w:rsidR="006B61B2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wyższe wartości wolumenu dla trzech </w:t>
      </w:r>
      <w:r w:rsidR="00061237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punków poboru gazu są wartością szac</w:t>
      </w:r>
      <w:r w:rsidR="00274135">
        <w:rPr>
          <w:rFonts w:ascii="Garamond" w:eastAsia="Times New Roman" w:hAnsi="Garamond" w:cs="Times New Roman"/>
          <w:sz w:val="23"/>
          <w:szCs w:val="23"/>
          <w:lang w:eastAsia="pl-PL"/>
        </w:rPr>
        <w:t>unkową</w:t>
      </w:r>
      <w:r w:rsidR="00061237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i mogą ulec zmianie. W przypadku różnicy między zużyciem planowanym a faktycznym, Wykonawca nie będzie z tego tytułu dochodził roszczeń finansowych innych niż te wynikające z ilości zużytego gazu oraz usługi </w:t>
      </w:r>
      <w:proofErr w:type="spellStart"/>
      <w:r w:rsidR="00061237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>przesyłu</w:t>
      </w:r>
      <w:proofErr w:type="spellEnd"/>
      <w:r w:rsidR="00061237" w:rsidRPr="006B61B2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zgodnie z obowiązującą Taryfą Operatora Systemu Dystrybucyjnego. </w:t>
      </w:r>
      <w:r w:rsidR="003A05E2">
        <w:rPr>
          <w:rFonts w:ascii="Garamond" w:eastAsia="Times New Roman" w:hAnsi="Garamond" w:cs="Times New Roman"/>
          <w:sz w:val="23"/>
          <w:szCs w:val="23"/>
          <w:lang w:eastAsia="pl-PL"/>
        </w:rPr>
        <w:br/>
      </w:r>
      <w:r>
        <w:rPr>
          <w:rFonts w:ascii="Garamond" w:eastAsia="Times New Roman" w:hAnsi="Garamond" w:cs="Times New Roman"/>
          <w:sz w:val="23"/>
          <w:szCs w:val="23"/>
          <w:lang w:eastAsia="pl-PL"/>
        </w:rPr>
        <w:t>5.</w:t>
      </w:r>
      <w:r w:rsidR="001C0E2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061237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>W toku realizacji zamówienia zamawiający zastrzega sobie prawo do zmniejszenia lub zwiększenia łącznej ilości zakupionego paliwa gazowego i/lub wartości dystrybucji zakupionego paliwa gazowego w zakresie do ± 20% względem ilości (wartości) zamówien</w:t>
      </w:r>
      <w:r w:rsidR="001C0E24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>ia określonego w Załączniku nr 2.1, 2.2, 2.3</w:t>
      </w:r>
      <w:r w:rsidR="00061237" w:rsidRPr="001C0E2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do SWZ (zamówienie szacowane). Zaistnienie okoliczności, o której mowa powyżej, spowoduje odpowiednio zmniejszenie lub zwiększenie wynagrodzenia należnego wykonawcy z tytułu niniejszej umowy. Zmiana ilości paliwa gazowego następuje automatycznie i nie wymaga oświadczenia strony. W przypadku nieskorzystania przez zamawiającego z prawa do zmniejszenia lub zwiększenia łącznej ilości zakupionego paliwa gazowego i/lub wartości dystrybucji zakupionego paliwa gazowego w zakresie do ± 20% względem ilości zamówienia planowanego wykonawcy nie przysługują żadne roszczenia z tego tytułu.</w:t>
      </w:r>
      <w:r w:rsidR="005F0AFF">
        <w:rPr>
          <w:rFonts w:ascii="Garamond" w:eastAsia="Times New Roman" w:hAnsi="Garamond" w:cs="Times New Roman"/>
          <w:sz w:val="23"/>
          <w:szCs w:val="23"/>
          <w:lang w:eastAsia="pl-PL"/>
        </w:rPr>
        <w:br/>
      </w:r>
      <w:r w:rsidRPr="00A255C5">
        <w:rPr>
          <w:rFonts w:ascii="Garamond" w:hAnsi="Garamond"/>
          <w:sz w:val="23"/>
          <w:szCs w:val="23"/>
        </w:rPr>
        <w:t>6.</w:t>
      </w:r>
      <w:r w:rsidR="00F25055" w:rsidRPr="00A255C5">
        <w:rPr>
          <w:rFonts w:ascii="Garamond" w:hAnsi="Garamond"/>
          <w:sz w:val="23"/>
          <w:szCs w:val="23"/>
        </w:rPr>
        <w:t xml:space="preserve">  Na koszty korzystania z przedmiotu zamówienia składają się: opłata za sprzedaż gazu, opłata abonamentowa, opłata dystrybucyjna stała i opłata dystrybucyjna zmienna</w:t>
      </w:r>
      <w:r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. </w:t>
      </w:r>
      <w:r w:rsidR="005F0AFF" w:rsidRPr="005F0AFF">
        <w:rPr>
          <w:rFonts w:ascii="Garamond" w:hAnsi="Garamond"/>
          <w:sz w:val="23"/>
          <w:szCs w:val="23"/>
        </w:rPr>
        <w:t>Szczegółowe informacje zostały zawarte w Planowanym miesięcznym zużyciu punktów poboru stanowiącym zał.2.1, 2.2, 2.3</w:t>
      </w:r>
      <w:r>
        <w:rPr>
          <w:rFonts w:ascii="Garamond" w:hAnsi="Garamond"/>
          <w:color w:val="FF0000"/>
          <w:sz w:val="23"/>
          <w:szCs w:val="23"/>
        </w:rPr>
        <w:br/>
      </w:r>
      <w:r>
        <w:rPr>
          <w:rFonts w:ascii="Garamond" w:eastAsia="Times New Roman" w:hAnsi="Garamond" w:cs="Times New Roman"/>
          <w:sz w:val="23"/>
          <w:szCs w:val="23"/>
          <w:lang w:eastAsia="pl-PL"/>
        </w:rPr>
        <w:t>7</w:t>
      </w:r>
      <w:r w:rsidRPr="00EF1BA4">
        <w:rPr>
          <w:rFonts w:ascii="Garamond" w:eastAsia="Times New Roman" w:hAnsi="Garamond" w:cs="Times New Roman"/>
          <w:sz w:val="23"/>
          <w:szCs w:val="23"/>
          <w:lang w:eastAsia="pl-PL"/>
        </w:rPr>
        <w:t>.</w:t>
      </w:r>
      <w:r w:rsidR="00F25055" w:rsidRPr="00EF1BA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 </w:t>
      </w:r>
      <w:r w:rsidR="00F25055" w:rsidRPr="00EF1BA4">
        <w:rPr>
          <w:rFonts w:ascii="Garamond" w:eastAsia="Times New Roman" w:hAnsi="Garamond" w:cs="Times New Roman"/>
          <w:bCs/>
          <w:sz w:val="23"/>
          <w:szCs w:val="23"/>
          <w:lang w:eastAsia="pl-PL"/>
        </w:rPr>
        <w:t>Zamawiający</w:t>
      </w:r>
      <w:r w:rsidR="00061237" w:rsidRPr="00EF1BA4">
        <w:rPr>
          <w:rFonts w:ascii="Garamond" w:eastAsia="Times New Roman" w:hAnsi="Garamond" w:cs="Times New Roman"/>
          <w:bCs/>
          <w:sz w:val="23"/>
          <w:szCs w:val="23"/>
          <w:lang w:eastAsia="pl-PL"/>
        </w:rPr>
        <w:t xml:space="preserve"> jest zwolniony z podatku akcyzowego</w:t>
      </w:r>
      <w:r w:rsidR="005F0AFF" w:rsidRPr="00EF1BA4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wynikającego z Ustawy o Podatku Akcyzowym Art. 31b ust.2 pkt.4 ( Podmioty Systemu Oświaty ) Dz. </w:t>
      </w:r>
      <w:r w:rsidR="00EF1BA4" w:rsidRPr="00EF1BA4">
        <w:rPr>
          <w:rFonts w:ascii="Garamond" w:eastAsia="Times New Roman" w:hAnsi="Garamond" w:cs="Times New Roman"/>
          <w:sz w:val="23"/>
          <w:szCs w:val="23"/>
          <w:lang w:eastAsia="pl-PL"/>
        </w:rPr>
        <w:t>U 2023.0.1542</w:t>
      </w:r>
      <w:r w:rsidR="005F0AFF"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br/>
      </w:r>
      <w:r w:rsidRPr="00A255C5">
        <w:rPr>
          <w:rFonts w:ascii="Garamond" w:eastAsia="Times New Roman" w:hAnsi="Garamond" w:cs="Times New Roman"/>
          <w:sz w:val="23"/>
          <w:szCs w:val="23"/>
          <w:lang w:eastAsia="pl-PL"/>
        </w:rPr>
        <w:t>8.</w:t>
      </w:r>
      <w:r w:rsidR="00F25055" w:rsidRPr="00A255C5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</w:t>
      </w:r>
      <w:r w:rsidR="00061237" w:rsidRPr="00A255C5">
        <w:rPr>
          <w:rFonts w:ascii="Garamond" w:eastAsia="Times New Roman" w:hAnsi="Garamond" w:cs="Times New Roman"/>
          <w:sz w:val="23"/>
          <w:szCs w:val="23"/>
          <w:lang w:eastAsia="pl-PL"/>
        </w:rPr>
        <w:t>Wykonawca odpowiedzialny będzie za przebieg i</w:t>
      </w:r>
      <w:r w:rsidRPr="00A255C5">
        <w:rPr>
          <w:rFonts w:ascii="Garamond" w:eastAsia="Times New Roman" w:hAnsi="Garamond" w:cs="Times New Roman"/>
          <w:sz w:val="23"/>
          <w:szCs w:val="23"/>
          <w:lang w:eastAsia="pl-PL"/>
        </w:rPr>
        <w:t xml:space="preserve"> terminowe wykonanie zamówienia.</w:t>
      </w:r>
      <w:r>
        <w:rPr>
          <w:rFonts w:ascii="Garamond" w:eastAsia="Times New Roman" w:hAnsi="Garamond" w:cs="Times New Roman"/>
          <w:color w:val="FF0000"/>
          <w:sz w:val="23"/>
          <w:szCs w:val="23"/>
          <w:lang w:eastAsia="pl-PL"/>
        </w:rPr>
        <w:br/>
      </w:r>
      <w:r>
        <w:rPr>
          <w:rFonts w:ascii="Garamond" w:hAnsi="Garamond"/>
          <w:b/>
          <w:bCs/>
          <w:sz w:val="23"/>
          <w:szCs w:val="23"/>
        </w:rPr>
        <w:t>9.</w:t>
      </w:r>
      <w:r w:rsidR="001528D7" w:rsidRPr="00A255C5">
        <w:rPr>
          <w:rFonts w:ascii="Garamond" w:hAnsi="Garamond"/>
          <w:b/>
          <w:bCs/>
          <w:sz w:val="23"/>
          <w:szCs w:val="23"/>
        </w:rPr>
        <w:t xml:space="preserve"> </w:t>
      </w:r>
      <w:r w:rsidR="001528D7" w:rsidRPr="00A255C5">
        <w:rPr>
          <w:rFonts w:ascii="Garamond" w:hAnsi="Garamond"/>
          <w:sz w:val="23"/>
          <w:szCs w:val="23"/>
        </w:rPr>
        <w:t xml:space="preserve">Wybrany Wykonawca zobowiązuje się - składając ofertę w postępowaniu, przedstawić zamawiającemu w terminie do 7 dni od dnia przekazania informacji o wyborze jego oferty jako najkorzystniejszej, wzór Umowy kompleksowej dostawy gazu ziemnego zgodny z </w:t>
      </w:r>
      <w:proofErr w:type="spellStart"/>
      <w:r w:rsidR="001528D7" w:rsidRPr="00A255C5">
        <w:rPr>
          <w:rFonts w:ascii="Garamond" w:hAnsi="Garamond"/>
          <w:sz w:val="23"/>
          <w:szCs w:val="23"/>
        </w:rPr>
        <w:t>IRiESD</w:t>
      </w:r>
      <w:proofErr w:type="spellEnd"/>
      <w:r w:rsidR="001528D7" w:rsidRPr="00A255C5">
        <w:rPr>
          <w:rFonts w:ascii="Garamond" w:hAnsi="Garamond"/>
          <w:sz w:val="23"/>
          <w:szCs w:val="23"/>
        </w:rPr>
        <w:t xml:space="preserve">, </w:t>
      </w:r>
      <w:proofErr w:type="spellStart"/>
      <w:r w:rsidR="001528D7" w:rsidRPr="00A255C5">
        <w:rPr>
          <w:rFonts w:ascii="Garamond" w:hAnsi="Garamond"/>
          <w:sz w:val="23"/>
          <w:szCs w:val="23"/>
        </w:rPr>
        <w:t>IRiESP</w:t>
      </w:r>
      <w:proofErr w:type="spellEnd"/>
      <w:r w:rsidR="001528D7" w:rsidRPr="00A255C5">
        <w:rPr>
          <w:rFonts w:ascii="Garamond" w:hAnsi="Garamond"/>
          <w:sz w:val="23"/>
          <w:szCs w:val="23"/>
        </w:rPr>
        <w:t xml:space="preserve"> oraz powszechnie obowiązującymi przepisami prawa. </w:t>
      </w:r>
      <w:r w:rsidR="00406ADA" w:rsidRPr="00A255C5">
        <w:rPr>
          <w:rFonts w:ascii="Garamond" w:hAnsi="Garamond"/>
          <w:sz w:val="23"/>
          <w:szCs w:val="23"/>
        </w:rPr>
        <w:br/>
      </w:r>
      <w:r>
        <w:rPr>
          <w:rFonts w:ascii="Garamond" w:hAnsi="Garamond"/>
          <w:b/>
          <w:bCs/>
          <w:sz w:val="23"/>
          <w:szCs w:val="23"/>
        </w:rPr>
        <w:t>10.</w:t>
      </w:r>
      <w:r w:rsidR="001528D7" w:rsidRPr="00A255C5">
        <w:rPr>
          <w:rFonts w:ascii="Garamond" w:hAnsi="Garamond"/>
          <w:b/>
          <w:bCs/>
          <w:sz w:val="23"/>
          <w:szCs w:val="23"/>
        </w:rPr>
        <w:t xml:space="preserve"> Oznaczenie kodu CPV - Wspólny słownik zamówień </w:t>
      </w:r>
      <w:r w:rsidR="001528D7" w:rsidRPr="00A255C5">
        <w:rPr>
          <w:rFonts w:ascii="Garamond" w:hAnsi="Garamond"/>
          <w:sz w:val="23"/>
          <w:szCs w:val="23"/>
        </w:rPr>
        <w:t xml:space="preserve">(kod i opis) </w:t>
      </w:r>
      <w:r w:rsidR="00406ADA" w:rsidRPr="00A255C5">
        <w:rPr>
          <w:rFonts w:ascii="Garamond" w:hAnsi="Garamond"/>
          <w:sz w:val="23"/>
          <w:szCs w:val="23"/>
        </w:rPr>
        <w:br/>
      </w:r>
      <w:r>
        <w:rPr>
          <w:rFonts w:ascii="Garamond" w:hAnsi="Garamond"/>
          <w:sz w:val="23"/>
          <w:szCs w:val="23"/>
        </w:rPr>
        <w:t>09123000-  gaz ziemny</w:t>
      </w:r>
      <w:r w:rsidR="00406ADA" w:rsidRPr="00A255C5">
        <w:rPr>
          <w:rFonts w:ascii="Garamond" w:hAnsi="Garamond"/>
          <w:sz w:val="23"/>
          <w:szCs w:val="23"/>
        </w:rPr>
        <w:br/>
      </w:r>
      <w:r w:rsidR="001528D7" w:rsidRPr="00A255C5">
        <w:rPr>
          <w:rFonts w:ascii="Garamond" w:hAnsi="Garamond"/>
          <w:sz w:val="23"/>
          <w:szCs w:val="23"/>
        </w:rPr>
        <w:t xml:space="preserve">65200000-5 - </w:t>
      </w:r>
      <w:proofErr w:type="spellStart"/>
      <w:r w:rsidR="001528D7" w:rsidRPr="00A255C5">
        <w:rPr>
          <w:rFonts w:ascii="Garamond" w:hAnsi="Garamond"/>
          <w:sz w:val="23"/>
          <w:szCs w:val="23"/>
        </w:rPr>
        <w:t>przesył</w:t>
      </w:r>
      <w:proofErr w:type="spellEnd"/>
      <w:r w:rsidR="001528D7" w:rsidRPr="00A255C5">
        <w:rPr>
          <w:rFonts w:ascii="Garamond" w:hAnsi="Garamond"/>
          <w:sz w:val="23"/>
          <w:szCs w:val="23"/>
        </w:rPr>
        <w:t xml:space="preserve"> gazu i podobne usługi </w:t>
      </w:r>
    </w:p>
    <w:p w:rsidR="008336BE" w:rsidRDefault="00406ADA" w:rsidP="00C37CBA">
      <w:pPr>
        <w:pStyle w:val="Default"/>
        <w:rPr>
          <w:bCs/>
          <w:color w:val="000000" w:themeColor="text1"/>
          <w:sz w:val="23"/>
          <w:szCs w:val="23"/>
        </w:rPr>
      </w:pPr>
      <w:r>
        <w:rPr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>VI. TERMIN WYKONANIA ZAMÓWIENIA</w:t>
      </w:r>
      <w:r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1. </w:t>
      </w:r>
      <w:r w:rsidR="001528D7">
        <w:rPr>
          <w:color w:val="auto"/>
          <w:sz w:val="23"/>
          <w:szCs w:val="23"/>
        </w:rPr>
        <w:t>Termin realizacji zam</w:t>
      </w:r>
      <w:r w:rsidR="00C9325D">
        <w:rPr>
          <w:color w:val="auto"/>
          <w:sz w:val="23"/>
          <w:szCs w:val="23"/>
        </w:rPr>
        <w:t>ówienia ustala się od 01.01.2025 r. do dnia 31.12.2025</w:t>
      </w:r>
      <w:r w:rsidR="001528D7">
        <w:rPr>
          <w:color w:val="auto"/>
          <w:sz w:val="23"/>
          <w:szCs w:val="23"/>
        </w:rPr>
        <w:t xml:space="preserve"> r. </w:t>
      </w:r>
      <w:r>
        <w:rPr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>Warunkiem rozpoczęcia rea</w:t>
      </w:r>
      <w:r w:rsidR="00C9325D">
        <w:rPr>
          <w:color w:val="auto"/>
          <w:sz w:val="23"/>
          <w:szCs w:val="23"/>
        </w:rPr>
        <w:t>lizacji zamówienia od 01.01.2025</w:t>
      </w:r>
      <w:r w:rsidR="001528D7">
        <w:rPr>
          <w:color w:val="auto"/>
          <w:sz w:val="23"/>
          <w:szCs w:val="23"/>
        </w:rPr>
        <w:t xml:space="preserve"> r. jest skuteczne przeprowadzenie procesu zmiany sprzedawcy u Operatora Systemu Dystrybucyjnego. </w:t>
      </w:r>
      <w:r w:rsidR="003B4715" w:rsidRPr="003B4715">
        <w:rPr>
          <w:bCs/>
          <w:color w:val="000000" w:themeColor="text1"/>
          <w:sz w:val="23"/>
          <w:szCs w:val="23"/>
        </w:rPr>
        <w:t>Powyższe punkty poboru są obecnie objęty umową kompleksową z PGNiG Sp. z o.o. Wykonawca będzie zobligowany do dopełnienia formalności związanych ze zmianą Sprzedawcy, jeżeli Sprzedawcą będzie inny podmiot</w:t>
      </w:r>
    </w:p>
    <w:p w:rsidR="00A8570C" w:rsidRDefault="00C37CBA" w:rsidP="00C37CBA">
      <w:pPr>
        <w:pStyle w:val="Default"/>
        <w:rPr>
          <w:b/>
          <w:bCs/>
          <w:color w:val="auto"/>
          <w:sz w:val="23"/>
          <w:szCs w:val="23"/>
        </w:rPr>
      </w:pPr>
      <w:r w:rsidRPr="003B4715">
        <w:rPr>
          <w:sz w:val="23"/>
          <w:szCs w:val="23"/>
        </w:rPr>
        <w:br/>
      </w:r>
    </w:p>
    <w:p w:rsidR="008336BE" w:rsidRDefault="001528D7" w:rsidP="00C37CBA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VII. PROJEKTOWANE POSTANOWIENIA UMOWY W SPRAWIE ZAMÓWIENIA PUBLICZNEGO, KTÓRE ZOSTANĄ WPROWADZONE DO TREŚCI TEJ UMOWY </w:t>
      </w:r>
      <w:r w:rsidR="00C37CBA">
        <w:rPr>
          <w:b/>
          <w:bCs/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1. Istotne postanowienia umowy zostały opisane </w:t>
      </w:r>
      <w:r w:rsidR="005C6864" w:rsidRPr="005C6864">
        <w:rPr>
          <w:b/>
          <w:bCs/>
          <w:color w:val="auto"/>
          <w:sz w:val="23"/>
          <w:szCs w:val="23"/>
        </w:rPr>
        <w:t>w załączniku nr 5</w:t>
      </w:r>
      <w:r w:rsidRPr="005C6864">
        <w:rPr>
          <w:b/>
          <w:bCs/>
          <w:color w:val="auto"/>
          <w:sz w:val="23"/>
          <w:szCs w:val="23"/>
        </w:rPr>
        <w:t xml:space="preserve"> do SWZ. </w:t>
      </w:r>
      <w:r w:rsidR="00C37CBA" w:rsidRPr="005C6864">
        <w:rPr>
          <w:b/>
          <w:bCs/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2. Umowa zostanie zawarta na podstawie złożonej oferty wykonawcy. </w:t>
      </w:r>
      <w:r w:rsidR="00C37CBA">
        <w:rPr>
          <w:b/>
          <w:bCs/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Zakres i warunki zmian zawartej umowy oraz pozostałe kwestie związane z umową zostały określone w istotnych postanowieniach umowy – </w:t>
      </w:r>
      <w:r w:rsidR="005C6864" w:rsidRPr="005C6864">
        <w:rPr>
          <w:color w:val="auto"/>
          <w:sz w:val="23"/>
          <w:szCs w:val="23"/>
        </w:rPr>
        <w:t>załącznik nr 5</w:t>
      </w:r>
      <w:r w:rsidRPr="005C6864">
        <w:rPr>
          <w:color w:val="auto"/>
          <w:sz w:val="23"/>
          <w:szCs w:val="23"/>
        </w:rPr>
        <w:t xml:space="preserve"> do SWZ. </w:t>
      </w:r>
    </w:p>
    <w:p w:rsidR="00876D77" w:rsidRPr="00876D77" w:rsidRDefault="00C37CBA" w:rsidP="00F44011">
      <w:pPr>
        <w:pStyle w:val="Tekstprzypisudolnego"/>
        <w:jc w:val="both"/>
        <w:rPr>
          <w:rFonts w:ascii="Garamond" w:hAnsi="Garamond" w:cs="Arial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br/>
      </w:r>
      <w:r w:rsidR="001528D7">
        <w:rPr>
          <w:b/>
          <w:bCs/>
          <w:sz w:val="23"/>
          <w:szCs w:val="23"/>
        </w:rPr>
        <w:t xml:space="preserve">VIII. INFORMACJE O ŚRODKACH KOMUNIKACJI ELEKTRONICZNEJ, PRZY UŻYCIU KTÓRYCH ZAMAWIAJĄCY BĘDZIE KOMUNIKOWAŁ SIĘ Z WYKONAWCAMI, ORAZ INFORMACJE O WYMAGANIACH TECHNICZNYCH I ORGANIZACYJNYCH SPORZĄDZENIA, WYSYŁANIA I ODBIERANIA KORESPONDENCJI ELEKTRONICZNEJ </w:t>
      </w:r>
      <w:r>
        <w:rPr>
          <w:b/>
          <w:bCs/>
          <w:sz w:val="23"/>
          <w:szCs w:val="23"/>
        </w:rPr>
        <w:br/>
      </w:r>
      <w:r w:rsidR="00876D77" w:rsidRPr="00876D77">
        <w:rPr>
          <w:rFonts w:ascii="Garamond" w:hAnsi="Garamond" w:cs="Arial"/>
          <w:sz w:val="23"/>
          <w:szCs w:val="23"/>
        </w:rPr>
        <w:t>W postępowaniu o udzielenie zamówienia publicznego komunikacja między Zamawiającym a Wykonawcami odbywa się przy użyciu Platformy e-Zamówienia, która jest dostępna pod adresem https://ezamowienia.gov.pl.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Korzystanie z Platformy e-Zamówienia jest bezpłatne.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Zamawiający wyznacza następujące osoby do kontaktu z Wykonawcami: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w zakresie merytorycznym : P. Andrzej Chom, tel. 606114097</w:t>
      </w:r>
      <w:r>
        <w:rPr>
          <w:rFonts w:ascii="Garamond" w:hAnsi="Garamond" w:cs="Arial"/>
          <w:sz w:val="23"/>
          <w:szCs w:val="23"/>
        </w:rPr>
        <w:t xml:space="preserve"> 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e-mail: </w:t>
      </w:r>
      <w:hyperlink r:id="rId7" w:history="1">
        <w:r w:rsidRPr="00F44011">
          <w:rPr>
            <w:rStyle w:val="Hipercze"/>
            <w:rFonts w:ascii="Garamond" w:hAnsi="Garamond" w:cs="Arial"/>
            <w:b/>
            <w:color w:val="auto"/>
            <w:sz w:val="23"/>
            <w:szCs w:val="23"/>
          </w:rPr>
          <w:t>achom@syrena-mielno.pl</w:t>
        </w:r>
      </w:hyperlink>
      <w:r w:rsidRPr="00F44011">
        <w:rPr>
          <w:rFonts w:ascii="Garamond" w:hAnsi="Garamond" w:cs="Arial"/>
          <w:b/>
          <w:sz w:val="23"/>
          <w:szCs w:val="23"/>
        </w:rPr>
        <w:t>,</w:t>
      </w:r>
      <w:r w:rsidRPr="00F44011">
        <w:rPr>
          <w:rFonts w:ascii="Garamond" w:hAnsi="Garamond" w:cs="Arial"/>
          <w:sz w:val="23"/>
          <w:szCs w:val="23"/>
        </w:rPr>
        <w:t xml:space="preserve"> 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w zakresie formalnym : P. Lipnicka Sylwia 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te. 730260087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e-mail: </w:t>
      </w:r>
      <w:r w:rsidRPr="00F44011">
        <w:rPr>
          <w:rFonts w:ascii="Garamond" w:hAnsi="Garamond" w:cs="Arial"/>
          <w:b/>
          <w:sz w:val="23"/>
          <w:szCs w:val="23"/>
          <w:u w:val="single"/>
        </w:rPr>
        <w:t>slipnicka@syrena-mielno.pl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Wykonawca zamierzający wziąć udział w postępowaniu o udzielenie zamówienia publicznego musi posiadać konto podmiotu „Wykonawca” na Platformie </w:t>
      </w:r>
      <w:r w:rsidRPr="00876D77">
        <w:rPr>
          <w:rFonts w:ascii="Garamond" w:hAnsi="Garamond" w:cs="Arial"/>
          <w:sz w:val="23"/>
          <w:szCs w:val="23"/>
        </w:rPr>
        <w:br/>
        <w:t xml:space="preserve">e-Zamówienia. Szczegółowe informacje na temat zakładania kont podmiotów oraz zasady i warunki korzystania z Platformy e-Zamówienia określa </w:t>
      </w:r>
      <w:r w:rsidRPr="00876D77">
        <w:rPr>
          <w:rFonts w:ascii="Garamond" w:hAnsi="Garamond" w:cs="Arial"/>
          <w:i/>
          <w:iCs/>
          <w:sz w:val="23"/>
          <w:szCs w:val="23"/>
        </w:rPr>
        <w:t>Regulamin Platformy e-Zamówienia</w:t>
      </w:r>
      <w:r w:rsidRPr="00876D77">
        <w:rPr>
          <w:rFonts w:ascii="Garamond" w:hAnsi="Garamond" w:cs="Arial"/>
          <w:sz w:val="23"/>
          <w:szCs w:val="23"/>
        </w:rPr>
        <w:t>, dostępny na stronie internetowej https://ezamowienia.gov.pl oraz informacje zamieszczone w zakładce „Centrum Pomocy”.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Przeglądanie i pobieranie publicznej treści dokumentacji postępowania nie wymaga posiadania konta na Platformie e-Zamówienia ani logowania.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</w:t>
      </w:r>
      <w:r w:rsidR="008E642E">
        <w:rPr>
          <w:rFonts w:ascii="Garamond" w:hAnsi="Garamond" w:cs="Arial"/>
          <w:sz w:val="23"/>
          <w:szCs w:val="23"/>
        </w:rPr>
        <w:t xml:space="preserve"> </w:t>
      </w:r>
      <w:r w:rsidRPr="00876D77">
        <w:rPr>
          <w:rFonts w:ascii="Garamond" w:hAnsi="Garamond" w:cs="Arial"/>
          <w:sz w:val="23"/>
          <w:szCs w:val="23"/>
        </w:rPr>
        <w:t xml:space="preserve">W przypadku formatów, o których mowa w art. 66 ust. 1 ustawy </w:t>
      </w:r>
      <w:proofErr w:type="spellStart"/>
      <w:r w:rsidRPr="00876D77">
        <w:rPr>
          <w:rFonts w:ascii="Garamond" w:hAnsi="Garamond" w:cs="Arial"/>
          <w:sz w:val="23"/>
          <w:szCs w:val="23"/>
        </w:rPr>
        <w:t>Pzp</w:t>
      </w:r>
      <w:proofErr w:type="spellEnd"/>
      <w:r w:rsidRPr="00876D77">
        <w:rPr>
          <w:rFonts w:ascii="Garamond" w:hAnsi="Garamond" w:cs="Arial"/>
          <w:sz w:val="23"/>
          <w:szCs w:val="23"/>
        </w:rPr>
        <w:t>, ww. regulacje nie będą miały bezpośredniego zastosowania.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76D77" w:rsidRPr="00876D77" w:rsidRDefault="00876D77" w:rsidP="00876D77">
      <w:pPr>
        <w:pStyle w:val="Tekstprzypisudolnego"/>
        <w:numPr>
          <w:ilvl w:val="0"/>
          <w:numId w:val="18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w formatach danych określonych w przepisach rozporządzenia Rady Ministrów w sprawie Krajowych Ram Interoperacyjności (i przekazuje się jako załącznik), lub</w:t>
      </w:r>
    </w:p>
    <w:p w:rsidR="00876D77" w:rsidRPr="00876D77" w:rsidRDefault="00876D77" w:rsidP="00876D77">
      <w:pPr>
        <w:pStyle w:val="Tekstprzypisudolnego"/>
        <w:numPr>
          <w:ilvl w:val="0"/>
          <w:numId w:val="18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jako tekst wpisany bezpośrednio do wiadomości przekazywanej przy użyciu środków komunikacji elektronicznej (np. w treści wiadomości e-mail lub w treści „Formularza do komunikacji”).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Jeżeli dokumenty elektroniczne, przekazywane przy użyciu środków komunikacji elektronicznej, zawierają informacje stanowiące tajemnicę przedsiębiorstwa w rozumieniu przepisów ustawy z dnia 16 kwietnia 1993 r. o zwalczaniu nieuczciwej konkurencji (Dz. U. z 2020 r. poz. 1913 oraz z 2021 r. poz. 1655) wykonawca, w celu utrzymania w poufności tych informacji, przekazuje je w </w:t>
      </w:r>
      <w:r w:rsidRPr="00876D77">
        <w:rPr>
          <w:rFonts w:ascii="Garamond" w:hAnsi="Garamond" w:cs="Arial"/>
          <w:sz w:val="23"/>
          <w:szCs w:val="23"/>
        </w:rPr>
        <w:lastRenderedPageBreak/>
        <w:t>wydzielonym i odpowiednio oznaczonym pliku, wraz z jednoczesnym zaznaczeniem w nazwie pliku „Dokument stanowiący tajemnicę przedsiębiorstwa”.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:rsidR="00876D77" w:rsidRPr="00876D77" w:rsidRDefault="00876D77" w:rsidP="00876D77">
      <w:pPr>
        <w:pStyle w:val="Tekstprzypisudolnego"/>
        <w:ind w:left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W przypadku załączników, które są zgodnie z ustawą </w:t>
      </w:r>
      <w:proofErr w:type="spellStart"/>
      <w:r w:rsidRPr="00876D77">
        <w:rPr>
          <w:rFonts w:ascii="Garamond" w:hAnsi="Garamond" w:cs="Arial"/>
          <w:sz w:val="23"/>
          <w:szCs w:val="23"/>
        </w:rPr>
        <w:t>Pzp</w:t>
      </w:r>
      <w:proofErr w:type="spellEnd"/>
      <w:r w:rsidRPr="00876D77">
        <w:rPr>
          <w:rFonts w:ascii="Garamond" w:hAnsi="Garamond" w:cs="Arial"/>
          <w:sz w:val="23"/>
          <w:szCs w:val="23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Wszystkie wysłane i odebrane w postępowaniu przez wykonawcę wiadomości widoczne są po zalogowaniu w podglądzie postępowania w zakładce „Komunikacja”.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Maksymalny rozmiar plików przesyłanych za pośrednictwem „Formularzy do komunikacji” wynosi 150 MB (wielkość ta dotyczy plików przesyłanych jako załączniki do jednego formularza).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Minimalne wymagania techniczne dotyczące sprzętu używanego w celu korzystania z usług Platformy e-Zamówienia oraz informacje dotyczące specyfikacji połączenia określa </w:t>
      </w:r>
      <w:r w:rsidRPr="00876D77">
        <w:rPr>
          <w:rFonts w:ascii="Garamond" w:hAnsi="Garamond" w:cs="Arial"/>
          <w:i/>
          <w:iCs/>
          <w:sz w:val="23"/>
          <w:szCs w:val="23"/>
        </w:rPr>
        <w:t>Regulamin Platformy e-Zamówienia</w:t>
      </w:r>
      <w:r w:rsidRPr="00876D77">
        <w:rPr>
          <w:rFonts w:ascii="Garamond" w:hAnsi="Garamond" w:cs="Arial"/>
          <w:sz w:val="23"/>
          <w:szCs w:val="23"/>
        </w:rPr>
        <w:t>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W przypadku problemów technicznych i awarii związanych z funkcjonowaniem Platformy </w:t>
      </w:r>
      <w:r>
        <w:rPr>
          <w:rFonts w:ascii="Garamond" w:hAnsi="Garamond" w:cs="Arial"/>
          <w:sz w:val="23"/>
          <w:szCs w:val="23"/>
        </w:rPr>
        <w:br/>
      </w:r>
      <w:r w:rsidRPr="00876D77">
        <w:rPr>
          <w:rFonts w:ascii="Garamond" w:hAnsi="Garamond" w:cs="Arial"/>
          <w:sz w:val="23"/>
          <w:szCs w:val="23"/>
        </w:rPr>
        <w:t xml:space="preserve">e-Zamówienia użytkownicy mogą skorzystać ze wsparcia technicznego dostępnego pod numerem telefonu 22 458 77 99 lub drogą elektroniczną poprzez formularz udostępniony na stronie internetowej </w:t>
      </w:r>
      <w:hyperlink r:id="rId8" w:history="1">
        <w:r w:rsidRPr="00876D77">
          <w:rPr>
            <w:rFonts w:ascii="Garamond" w:hAnsi="Garamond" w:cs="Arial"/>
            <w:sz w:val="23"/>
            <w:szCs w:val="23"/>
          </w:rPr>
          <w:t>https://ezamowienia.gov.pl</w:t>
        </w:r>
      </w:hyperlink>
      <w:r w:rsidRPr="00876D77">
        <w:rPr>
          <w:rFonts w:ascii="Garamond" w:hAnsi="Garamond" w:cs="Arial"/>
          <w:sz w:val="23"/>
          <w:szCs w:val="23"/>
        </w:rPr>
        <w:t xml:space="preserve"> w zakładce „Zgłoś problem”.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Zamawiający dopuszcza komunikację za pomocą poczty elektronicznej na adres e-mail: slipnicka@syrena-mielno.pl (nie dotyczy składania ofert).</w:t>
      </w:r>
    </w:p>
    <w:p w:rsidR="00876D77" w:rsidRPr="00876D77" w:rsidRDefault="00876D77" w:rsidP="00876D77">
      <w:pPr>
        <w:pStyle w:val="Tekstprzypisudolnego"/>
        <w:numPr>
          <w:ilvl w:val="0"/>
          <w:numId w:val="19"/>
        </w:numPr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Zamawiający nie przewiduje </w:t>
      </w:r>
      <w:r w:rsidRPr="00876D77">
        <w:rPr>
          <w:rFonts w:ascii="Garamond" w:hAnsi="Garamond" w:cs="Arial"/>
          <w:bCs/>
          <w:sz w:val="23"/>
          <w:szCs w:val="23"/>
        </w:rPr>
        <w:t>komunikowania się z Wykonawcami w inny sposób niż przy użyciu środków komunikacji elektronicznej.</w:t>
      </w:r>
    </w:p>
    <w:p w:rsidR="001528D7" w:rsidRDefault="001528D7" w:rsidP="00876D77">
      <w:pPr>
        <w:pStyle w:val="Default"/>
        <w:rPr>
          <w:sz w:val="23"/>
          <w:szCs w:val="23"/>
        </w:rPr>
      </w:pPr>
    </w:p>
    <w:p w:rsidR="001528D7" w:rsidRDefault="001528D7" w:rsidP="001528D7">
      <w:pPr>
        <w:pStyle w:val="Default"/>
        <w:rPr>
          <w:sz w:val="18"/>
          <w:szCs w:val="18"/>
        </w:rPr>
      </w:pPr>
    </w:p>
    <w:p w:rsidR="001528D7" w:rsidRDefault="001528D7" w:rsidP="00D30313">
      <w:pPr>
        <w:pStyle w:val="Default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IX. </w:t>
      </w:r>
      <w:r>
        <w:rPr>
          <w:b/>
          <w:bCs/>
          <w:color w:val="auto"/>
          <w:sz w:val="23"/>
          <w:szCs w:val="23"/>
        </w:rPr>
        <w:t xml:space="preserve">INFORMACJE O SPOSOBIE KOMUNIKOWANIA SIĘ ZAMAWIAJĄCEGO Z WYKONAWCAMI W INNY SPOSÓB NIŻ PRZY UŻYCIU ŚRODKÓW KOMUNIKACJI ELEKTRONICZNEJ W PRZYPADKU ZAISTNIENIA JEDNEJ Z SYTUACJI OKREŚLONEJ W ART. 65 UST. 1 ART. 66 I ART. 69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Nie dotyczy. </w:t>
      </w:r>
    </w:p>
    <w:p w:rsidR="008336BE" w:rsidRDefault="008336BE" w:rsidP="001528D7">
      <w:pPr>
        <w:pStyle w:val="Default"/>
        <w:rPr>
          <w:color w:val="auto"/>
          <w:sz w:val="23"/>
          <w:szCs w:val="23"/>
        </w:rPr>
      </w:pPr>
    </w:p>
    <w:p w:rsidR="003E6EF7" w:rsidRDefault="003E6EF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3E6EF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WSKAZANIE OSÓB UPRAWNIONYCH DO KOMUNIKOWANIA SIĘ Z WYKONAWCAMI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Osobą uprawnioną przez zamawiającego do kontaktu z wykonawcami jest</w:t>
      </w:r>
      <w:r w:rsidR="003E6EF7">
        <w:rPr>
          <w:color w:val="auto"/>
          <w:sz w:val="23"/>
          <w:szCs w:val="23"/>
        </w:rPr>
        <w:t xml:space="preserve"> Sylwia Lipnicka </w:t>
      </w:r>
      <w:r>
        <w:rPr>
          <w:color w:val="auto"/>
          <w:sz w:val="23"/>
          <w:szCs w:val="23"/>
        </w:rPr>
        <w:t xml:space="preserve"> e-mail: </w:t>
      </w:r>
      <w:r w:rsidR="003E6EF7">
        <w:rPr>
          <w:color w:val="auto"/>
          <w:sz w:val="23"/>
          <w:szCs w:val="23"/>
        </w:rPr>
        <w:t>slipnicka@syrena-mielno.pl</w:t>
      </w:r>
      <w:r>
        <w:rPr>
          <w:color w:val="auto"/>
          <w:sz w:val="23"/>
          <w:szCs w:val="23"/>
        </w:rPr>
        <w:t xml:space="preserve"> </w:t>
      </w:r>
    </w:p>
    <w:p w:rsidR="003E6EF7" w:rsidRDefault="003E6EF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3E6EF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XI. TERMIN ZWIĄZANIA OFERTĄ </w:t>
      </w:r>
    </w:p>
    <w:p w:rsidR="005771C9" w:rsidRPr="005771C9" w:rsidRDefault="001528D7" w:rsidP="005771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3"/>
          <w:szCs w:val="23"/>
        </w:rPr>
      </w:pPr>
      <w:r w:rsidRPr="005771C9">
        <w:rPr>
          <w:rFonts w:ascii="Garamond" w:hAnsi="Garamond"/>
          <w:b/>
          <w:bCs/>
          <w:sz w:val="23"/>
          <w:szCs w:val="23"/>
        </w:rPr>
        <w:t xml:space="preserve">1 </w:t>
      </w:r>
      <w:r w:rsidR="005771C9" w:rsidRPr="005771C9">
        <w:rPr>
          <w:rFonts w:ascii="Garamond" w:hAnsi="Garamond" w:cs="Arial"/>
          <w:sz w:val="23"/>
          <w:szCs w:val="23"/>
        </w:rPr>
        <w:t xml:space="preserve">Termin związania z ofertą wynosi 30dni . Bieg terminu związania z ofertą rozpoczyna się wraz z </w:t>
      </w:r>
      <w:r w:rsidR="005771C9" w:rsidRPr="005771C9">
        <w:rPr>
          <w:rFonts w:ascii="Garamond" w:hAnsi="Garamond" w:cs="Arial"/>
          <w:sz w:val="23"/>
          <w:szCs w:val="23"/>
        </w:rPr>
        <w:lastRenderedPageBreak/>
        <w:t xml:space="preserve">upływem terminu składania  ofert. </w:t>
      </w:r>
    </w:p>
    <w:p w:rsidR="001528D7" w:rsidRDefault="005771C9" w:rsidP="003E6EF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 xml:space="preserve">W przypadku gdy wybór najkorzystniejszej oferty nie nastąpi przed upływem terminu związania ofertą określonego w dokumentach zamówienia, zamawiający przed upływem terminu związania ofertą zwróci się jednokrotnie do wykonawców o wyrażenie zgody na przedłużenie tego terminu o wskazywany przez niego okres, nie dłuższy niż 30 dni </w:t>
      </w:r>
    </w:p>
    <w:p w:rsidR="003E6EF7" w:rsidRPr="009642FD" w:rsidRDefault="00876D77" w:rsidP="003E6EF7">
      <w:pPr>
        <w:pStyle w:val="Standard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3</w:t>
      </w:r>
      <w:r w:rsidR="001528D7" w:rsidRPr="009642FD">
        <w:rPr>
          <w:rFonts w:ascii="Garamond" w:hAnsi="Garamond"/>
          <w:b/>
          <w:bCs/>
          <w:sz w:val="23"/>
          <w:szCs w:val="23"/>
        </w:rPr>
        <w:t xml:space="preserve">. </w:t>
      </w:r>
      <w:r w:rsidR="003E6EF7" w:rsidRPr="009642FD">
        <w:rPr>
          <w:rFonts w:ascii="Garamond" w:hAnsi="Garamond" w:cs="Arial"/>
          <w:sz w:val="23"/>
          <w:szCs w:val="23"/>
        </w:rPr>
        <w:t>Przedłużenie terminu związania z ofertą, o którym mowa</w:t>
      </w:r>
      <w:r w:rsidR="009642FD">
        <w:rPr>
          <w:rFonts w:ascii="Garamond" w:hAnsi="Garamond" w:cs="Arial"/>
          <w:sz w:val="23"/>
          <w:szCs w:val="23"/>
        </w:rPr>
        <w:t xml:space="preserve"> w pkt 1, wymaga złożenia przez</w:t>
      </w:r>
      <w:r w:rsidR="009642FD">
        <w:rPr>
          <w:rFonts w:ascii="Garamond" w:hAnsi="Garamond" w:cs="Arial"/>
          <w:sz w:val="23"/>
          <w:szCs w:val="23"/>
        </w:rPr>
        <w:br/>
      </w:r>
      <w:r w:rsidR="003E6EF7" w:rsidRPr="009642FD">
        <w:rPr>
          <w:rFonts w:ascii="Garamond" w:hAnsi="Garamond" w:cs="Arial"/>
          <w:sz w:val="23"/>
          <w:szCs w:val="23"/>
        </w:rPr>
        <w:t>wykonawcę pisemnego oświadczenia o wyrażeniu zgody na przedłużenie terminu związania ofertą</w:t>
      </w:r>
      <w:r w:rsidR="003E6EF7" w:rsidRPr="009642FD">
        <w:rPr>
          <w:rFonts w:ascii="Arial" w:hAnsi="Arial" w:cs="Arial"/>
          <w:sz w:val="23"/>
          <w:szCs w:val="23"/>
        </w:rPr>
        <w:t>.</w:t>
      </w:r>
    </w:p>
    <w:p w:rsidR="001528D7" w:rsidRDefault="001528D7" w:rsidP="003E6EF7">
      <w:pPr>
        <w:pStyle w:val="Default"/>
        <w:rPr>
          <w:color w:val="auto"/>
          <w:sz w:val="23"/>
          <w:szCs w:val="23"/>
        </w:rPr>
      </w:pP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3E6EF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XII. OPIS SPOSOBU PRZYGOTOWANIA OFERTY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Oferta musi zawierać następujące dokumenty i oświadczenia: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Formularz OFERTA – załącznik nr 1 do SWZ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Fo</w:t>
      </w:r>
      <w:r w:rsidR="001C74AC">
        <w:rPr>
          <w:color w:val="auto"/>
          <w:sz w:val="23"/>
          <w:szCs w:val="23"/>
        </w:rPr>
        <w:t xml:space="preserve">rmularz cenowy - załącznik nr 2 ( zał. 2.1, zał. 2.2, zał. 2.3 ) </w:t>
      </w:r>
      <w:r>
        <w:rPr>
          <w:color w:val="auto"/>
          <w:sz w:val="23"/>
          <w:szCs w:val="23"/>
        </w:rPr>
        <w:t xml:space="preserve"> do SWZ. </w:t>
      </w:r>
    </w:p>
    <w:p w:rsidR="00126EC9" w:rsidRDefault="007B3342" w:rsidP="001528D7">
      <w:pPr>
        <w:pStyle w:val="Default"/>
        <w:rPr>
          <w:rFonts w:cs="Arial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3) Wypełniony załącznik nr 3</w:t>
      </w:r>
      <w:r w:rsidR="001528D7">
        <w:rPr>
          <w:color w:val="auto"/>
          <w:sz w:val="23"/>
          <w:szCs w:val="23"/>
        </w:rPr>
        <w:t xml:space="preserve"> do SWZ, stanowiący oświadczenie, </w:t>
      </w:r>
      <w:r w:rsidR="00126EC9" w:rsidRPr="00126EC9">
        <w:rPr>
          <w:rFonts w:cs="Arial"/>
          <w:sz w:val="23"/>
          <w:szCs w:val="23"/>
          <w:u w:val="single"/>
        </w:rPr>
        <w:t>o niepodleganiu wyklucz</w:t>
      </w:r>
      <w:r w:rsidR="00E35834">
        <w:rPr>
          <w:rFonts w:cs="Arial"/>
          <w:sz w:val="23"/>
          <w:szCs w:val="23"/>
          <w:u w:val="single"/>
        </w:rPr>
        <w:t>eniu oraz oświadczenie o spełnie</w:t>
      </w:r>
      <w:r w:rsidR="00126EC9" w:rsidRPr="00126EC9">
        <w:rPr>
          <w:rFonts w:cs="Arial"/>
          <w:sz w:val="23"/>
          <w:szCs w:val="23"/>
          <w:u w:val="single"/>
        </w:rPr>
        <w:t>niu warunków udziału w postępowaniu oraz wykonawców wspólni</w:t>
      </w:r>
      <w:r w:rsidR="00126EC9">
        <w:rPr>
          <w:rFonts w:cs="Arial"/>
          <w:sz w:val="23"/>
          <w:szCs w:val="23"/>
          <w:u w:val="single"/>
        </w:rPr>
        <w:t>e ubiegających się o zamówienie</w:t>
      </w:r>
      <w:r w:rsidR="004415AA">
        <w:rPr>
          <w:rFonts w:cs="Arial"/>
          <w:sz w:val="23"/>
          <w:szCs w:val="23"/>
          <w:u w:val="single"/>
        </w:rPr>
        <w:t xml:space="preserve"> dotyczące :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wykonawcy;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każdego ze wspólników konsorcjum (w przypadku składania oferty wspólnej) oraz każdego ze wspólników spółki cywilnej;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podmiotów „trzecich”, czyli podmiotów, na zasoby których powołuje się wykonawca w celu spełnienia warunków udziału w postępowaniu,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Wykonawcy wspólnie ubiegający się o udzielenie zamówienia składają oświadczenie, z którego wynika, które czynności wykonają poszcze</w:t>
      </w:r>
      <w:r w:rsidR="007B3342">
        <w:rPr>
          <w:color w:val="auto"/>
          <w:sz w:val="23"/>
          <w:szCs w:val="23"/>
        </w:rPr>
        <w:t>gólni wykonawcy – załącznik nr 3</w:t>
      </w:r>
      <w:r>
        <w:rPr>
          <w:color w:val="auto"/>
          <w:sz w:val="23"/>
          <w:szCs w:val="23"/>
        </w:rPr>
        <w:t xml:space="preserve"> do SWZ. </w:t>
      </w:r>
    </w:p>
    <w:p w:rsidR="001528D7" w:rsidRDefault="001528D7" w:rsidP="001528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Pełnomocnictwo (jeżeli dotyczy). </w:t>
      </w:r>
    </w:p>
    <w:p w:rsidR="00876D77" w:rsidRPr="00876D77" w:rsidRDefault="001528D7" w:rsidP="00876D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przypadku składania oferty wspólnej przez kilku przedsiębiorców (tzw. konsorcjum) wspólnicy muszą ustanowić pełnomocnika do reprezentowania ich w postępowaniu o udzielenie zamówienia albo do reprezentowania w postępowaniu i zawarcia umowy. Do oferty należy dołączyć stosowne pełnomocnictwo, podpisane przez osoby upoważnione do składania oświadc</w:t>
      </w:r>
      <w:r w:rsidR="000E4E0A">
        <w:rPr>
          <w:color w:val="auto"/>
          <w:sz w:val="23"/>
          <w:szCs w:val="23"/>
        </w:rPr>
        <w:t>zeń woli każdego ze wspólników.</w:t>
      </w:r>
      <w:r w:rsidR="00FA234A">
        <w:rPr>
          <w:color w:val="auto"/>
          <w:sz w:val="23"/>
          <w:szCs w:val="23"/>
        </w:rPr>
        <w:br/>
        <w:t xml:space="preserve">2. </w:t>
      </w:r>
      <w:r w:rsidR="000E4E0A" w:rsidRPr="00876D77">
        <w:rPr>
          <w:b/>
          <w:bCs/>
          <w:sz w:val="23"/>
          <w:szCs w:val="23"/>
        </w:rPr>
        <w:t>Oferta winna być sporządzona</w:t>
      </w:r>
      <w:r w:rsidR="000E4E0A" w:rsidRPr="00876D77">
        <w:rPr>
          <w:sz w:val="23"/>
          <w:szCs w:val="23"/>
        </w:rPr>
        <w:t xml:space="preserve"> </w:t>
      </w:r>
      <w:r w:rsidR="000E4E0A" w:rsidRPr="00876D77">
        <w:rPr>
          <w:sz w:val="23"/>
          <w:szCs w:val="23"/>
        </w:rPr>
        <w:br/>
      </w:r>
      <w:r w:rsidRPr="00876D77">
        <w:rPr>
          <w:sz w:val="23"/>
          <w:szCs w:val="23"/>
        </w:rPr>
        <w:t>a) pod rygorem nieważności w formie elektronicznej lub postaci elektronicznej opatrzona podpisem z</w:t>
      </w:r>
      <w:r w:rsidR="007B3342" w:rsidRPr="00876D77">
        <w:rPr>
          <w:sz w:val="23"/>
          <w:szCs w:val="23"/>
        </w:rPr>
        <w:t>aufanym lub podpisem osobistym,</w:t>
      </w:r>
      <w:r w:rsidR="000E4E0A" w:rsidRPr="00876D77">
        <w:rPr>
          <w:sz w:val="23"/>
          <w:szCs w:val="23"/>
        </w:rPr>
        <w:t xml:space="preserve">  </w:t>
      </w:r>
      <w:r w:rsidR="000E4E0A" w:rsidRPr="00876D77">
        <w:rPr>
          <w:sz w:val="23"/>
          <w:szCs w:val="23"/>
        </w:rPr>
        <w:br/>
      </w:r>
      <w:r w:rsidR="007B3342" w:rsidRPr="00876D77">
        <w:rPr>
          <w:sz w:val="23"/>
          <w:szCs w:val="23"/>
        </w:rPr>
        <w:t xml:space="preserve">b) w języku polskim. </w:t>
      </w:r>
    </w:p>
    <w:p w:rsidR="00876D77" w:rsidRPr="00876D77" w:rsidRDefault="00876D77" w:rsidP="00876D77">
      <w:pPr>
        <w:numPr>
          <w:ilvl w:val="0"/>
          <w:numId w:val="20"/>
        </w:numPr>
        <w:tabs>
          <w:tab w:val="clear" w:pos="567"/>
        </w:tabs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 xml:space="preserve">Jeżeli oferta i załączniki zostaną podpisane przez upoważnionego przedstawiciela Wykonawcy, należy dołączyć właściwe umocowanie prawne. </w:t>
      </w:r>
    </w:p>
    <w:p w:rsidR="00876D77" w:rsidRPr="00876D77" w:rsidRDefault="00876D77" w:rsidP="00876D77">
      <w:pPr>
        <w:numPr>
          <w:ilvl w:val="0"/>
          <w:numId w:val="20"/>
        </w:numPr>
        <w:tabs>
          <w:tab w:val="clear" w:pos="567"/>
        </w:tabs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Dokumenty powinny być sporządzone zgodnie z zaleceniami oraz przedstawionymi przez Zamawiającego wzorcami - załącznikami, a w szczególności zawierać wszystkie informacje oraz dane.</w:t>
      </w:r>
    </w:p>
    <w:p w:rsidR="00876D77" w:rsidRPr="00FA234A" w:rsidRDefault="00FA234A" w:rsidP="00F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3.</w:t>
      </w:r>
      <w:r w:rsidR="00876D77" w:rsidRPr="00FA234A">
        <w:rPr>
          <w:rFonts w:ascii="Garamond" w:hAnsi="Garamond" w:cs="Arial"/>
          <w:bCs/>
          <w:sz w:val="23"/>
          <w:szCs w:val="23"/>
        </w:rPr>
        <w:t xml:space="preserve">Oferta wspólna. </w:t>
      </w:r>
      <w:r w:rsidR="00876D77" w:rsidRPr="00FA234A">
        <w:rPr>
          <w:rFonts w:ascii="Garamond" w:hAnsi="Garamond" w:cs="Arial"/>
          <w:sz w:val="23"/>
          <w:szCs w:val="23"/>
        </w:rPr>
        <w:t xml:space="preserve">W przypadku, kiedy ofertę składa kilka podmiotów, oferta musi spełniać następujące warunki: </w:t>
      </w:r>
    </w:p>
    <w:p w:rsidR="00876D77" w:rsidRPr="00876D77" w:rsidRDefault="00876D77" w:rsidP="00876D77">
      <w:pPr>
        <w:widowControl w:val="0"/>
        <w:numPr>
          <w:ilvl w:val="0"/>
          <w:numId w:val="21"/>
        </w:numPr>
        <w:tabs>
          <w:tab w:val="clear" w:pos="737"/>
        </w:tabs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Wykonawcy ustanawiają pełnomocnika do reprezentowania ich w postępowaniu o udzielenie zamówienia albo reprezentowania w postępowaniu i zawarcia umowy w sprawie zamówienia publicznego.</w:t>
      </w:r>
    </w:p>
    <w:p w:rsidR="00876D77" w:rsidRPr="00876D77" w:rsidRDefault="00876D77" w:rsidP="00876D77">
      <w:pPr>
        <w:widowControl w:val="0"/>
        <w:numPr>
          <w:ilvl w:val="0"/>
          <w:numId w:val="21"/>
        </w:numPr>
        <w:tabs>
          <w:tab w:val="clear" w:pos="737"/>
        </w:tabs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Oferta winna być podpisana przez ustanowionego pełnomocnika.</w:t>
      </w:r>
    </w:p>
    <w:p w:rsidR="00876D77" w:rsidRPr="00876D77" w:rsidRDefault="00876D77" w:rsidP="00876D77">
      <w:pPr>
        <w:widowControl w:val="0"/>
        <w:numPr>
          <w:ilvl w:val="0"/>
          <w:numId w:val="21"/>
        </w:numPr>
        <w:tabs>
          <w:tab w:val="clear" w:pos="737"/>
        </w:tabs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Upoważnienie do pełnienia funkcji pełnomocnika wymaga podpisu prawnie upoważnionych przedstawicieli każdego z partnerów - należy załączyć je do oferty.</w:t>
      </w:r>
    </w:p>
    <w:p w:rsidR="00876D77" w:rsidRPr="00876D77" w:rsidRDefault="00876D77" w:rsidP="00876D77">
      <w:pPr>
        <w:widowControl w:val="0"/>
        <w:numPr>
          <w:ilvl w:val="0"/>
          <w:numId w:val="21"/>
        </w:numPr>
        <w:tabs>
          <w:tab w:val="clear" w:pos="737"/>
        </w:tabs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Garamond" w:hAnsi="Garamond" w:cs="Arial"/>
          <w:sz w:val="23"/>
          <w:szCs w:val="23"/>
        </w:rPr>
      </w:pPr>
      <w:r w:rsidRPr="00876D77">
        <w:rPr>
          <w:rFonts w:ascii="Garamond" w:hAnsi="Garamond" w:cs="Arial"/>
          <w:sz w:val="23"/>
          <w:szCs w:val="23"/>
        </w:rPr>
        <w:t>Podmioty występujące wspólnie ponoszą solidarną odpowiedzialność za niewykonanie lub nienależyte wykonanie zobowiązań.</w:t>
      </w:r>
    </w:p>
    <w:p w:rsidR="004415AA" w:rsidRDefault="000E4E0A" w:rsidP="00FA234A">
      <w:pPr>
        <w:suppressAutoHyphens/>
        <w:spacing w:after="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FA234A">
        <w:rPr>
          <w:rFonts w:ascii="Garamond" w:hAnsi="Garamond"/>
          <w:sz w:val="23"/>
          <w:szCs w:val="23"/>
        </w:rPr>
        <w:br/>
      </w:r>
      <w:r w:rsidR="00FA234A" w:rsidRPr="00FA234A">
        <w:rPr>
          <w:rFonts w:ascii="Garamond" w:hAnsi="Garamond"/>
          <w:b/>
          <w:bCs/>
          <w:sz w:val="23"/>
          <w:szCs w:val="23"/>
        </w:rPr>
        <w:t>4</w:t>
      </w:r>
      <w:r w:rsidR="001528D7" w:rsidRPr="00FA234A">
        <w:rPr>
          <w:rFonts w:ascii="Garamond" w:hAnsi="Garamond"/>
          <w:b/>
          <w:bCs/>
          <w:sz w:val="23"/>
          <w:szCs w:val="23"/>
        </w:rPr>
        <w:t xml:space="preserve">. </w:t>
      </w:r>
      <w:r w:rsidR="001528D7" w:rsidRPr="00FA234A">
        <w:rPr>
          <w:rFonts w:ascii="Garamond" w:hAnsi="Garamond"/>
          <w:sz w:val="23"/>
          <w:szCs w:val="23"/>
        </w:rPr>
        <w:t xml:space="preserve">Oferta winna być złożona zgodnie z formularzem oferty, którego wzór stanowi załączniki nr 1 do SWZ. </w:t>
      </w:r>
      <w:r w:rsidRPr="00FA234A">
        <w:rPr>
          <w:rFonts w:ascii="Garamond" w:hAnsi="Garamond"/>
          <w:sz w:val="23"/>
          <w:szCs w:val="23"/>
        </w:rPr>
        <w:br/>
      </w:r>
      <w:r w:rsidRPr="00FA234A">
        <w:rPr>
          <w:rFonts w:ascii="Garamond" w:hAnsi="Garamond"/>
          <w:sz w:val="23"/>
          <w:szCs w:val="23"/>
        </w:rPr>
        <w:br/>
      </w:r>
      <w:r w:rsidR="00FA234A" w:rsidRPr="00FA234A">
        <w:rPr>
          <w:rFonts w:ascii="Garamond" w:hAnsi="Garamond"/>
          <w:b/>
          <w:bCs/>
          <w:sz w:val="23"/>
          <w:szCs w:val="23"/>
        </w:rPr>
        <w:lastRenderedPageBreak/>
        <w:t>5</w:t>
      </w:r>
      <w:r w:rsidR="001528D7" w:rsidRPr="00FA234A">
        <w:rPr>
          <w:rFonts w:ascii="Garamond" w:hAnsi="Garamond"/>
          <w:b/>
          <w:bCs/>
          <w:sz w:val="23"/>
          <w:szCs w:val="23"/>
        </w:rPr>
        <w:t xml:space="preserve">. </w:t>
      </w:r>
      <w:r w:rsidR="001528D7" w:rsidRPr="00FA234A">
        <w:rPr>
          <w:rFonts w:ascii="Garamond" w:hAnsi="Garamond"/>
          <w:sz w:val="23"/>
          <w:szCs w:val="23"/>
        </w:rPr>
        <w:t xml:space="preserve">Wykonawca po upływie terminu do składania ofert nie może skutecznie dokonać zmiany ani wycofać złożonej oferty. </w:t>
      </w:r>
      <w:r w:rsidRPr="00FA234A">
        <w:rPr>
          <w:rFonts w:ascii="Garamond" w:hAnsi="Garamond"/>
          <w:sz w:val="23"/>
          <w:szCs w:val="23"/>
        </w:rPr>
        <w:br/>
      </w:r>
      <w:r w:rsidR="00036F69" w:rsidRPr="00FA234A">
        <w:rPr>
          <w:rFonts w:ascii="Garamond" w:hAnsi="Garamond"/>
          <w:sz w:val="23"/>
          <w:szCs w:val="23"/>
        </w:rPr>
        <w:br/>
      </w:r>
      <w:r w:rsidR="001528D7" w:rsidRPr="00FA234A">
        <w:rPr>
          <w:rFonts w:ascii="Garamond" w:hAnsi="Garamond"/>
          <w:b/>
          <w:bCs/>
          <w:sz w:val="23"/>
          <w:szCs w:val="23"/>
        </w:rPr>
        <w:t xml:space="preserve">XIII. SPOSÓB ORAZ TERMIN SKŁADANIA OFERT </w:t>
      </w:r>
    </w:p>
    <w:p w:rsidR="00FA234A" w:rsidRPr="00FA234A" w:rsidRDefault="00036F69" w:rsidP="005914D5">
      <w:pPr>
        <w:suppressAutoHyphens/>
        <w:spacing w:after="0" w:line="240" w:lineRule="auto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/>
          <w:sz w:val="23"/>
          <w:szCs w:val="23"/>
        </w:rPr>
        <w:br/>
      </w:r>
      <w:r w:rsidR="00FA234A" w:rsidRPr="00FA234A">
        <w:rPr>
          <w:rFonts w:ascii="Garamond" w:hAnsi="Garamond"/>
          <w:bCs/>
          <w:sz w:val="23"/>
          <w:szCs w:val="23"/>
        </w:rPr>
        <w:t>1</w:t>
      </w:r>
      <w:r w:rsidR="001528D7" w:rsidRPr="00FA234A">
        <w:rPr>
          <w:rFonts w:ascii="Garamond" w:hAnsi="Garamond"/>
          <w:bCs/>
          <w:sz w:val="23"/>
          <w:szCs w:val="23"/>
        </w:rPr>
        <w:t>.</w:t>
      </w:r>
      <w:r w:rsidR="001528D7" w:rsidRPr="00FA234A">
        <w:rPr>
          <w:rFonts w:ascii="Garamond" w:hAnsi="Garamond"/>
          <w:b/>
          <w:bCs/>
          <w:sz w:val="23"/>
          <w:szCs w:val="23"/>
        </w:rPr>
        <w:t xml:space="preserve"> </w:t>
      </w:r>
      <w:r w:rsidR="001528D7" w:rsidRPr="00C05C52">
        <w:rPr>
          <w:rFonts w:ascii="Garamond" w:hAnsi="Garamond"/>
          <w:b/>
          <w:bCs/>
          <w:sz w:val="23"/>
          <w:szCs w:val="23"/>
        </w:rPr>
        <w:t xml:space="preserve">Termin składania ofert: </w:t>
      </w:r>
      <w:r w:rsidR="005914D5">
        <w:rPr>
          <w:rFonts w:ascii="Garamond" w:hAnsi="Garamond"/>
          <w:b/>
          <w:bCs/>
          <w:sz w:val="23"/>
          <w:szCs w:val="23"/>
        </w:rPr>
        <w:t xml:space="preserve">  </w:t>
      </w:r>
      <w:r w:rsidR="005914D5">
        <w:rPr>
          <w:rFonts w:ascii="Garamond" w:hAnsi="Garamond"/>
          <w:b/>
          <w:bCs/>
          <w:sz w:val="23"/>
          <w:szCs w:val="23"/>
          <w:u w:val="single"/>
        </w:rPr>
        <w:t xml:space="preserve">23.12.2024r.    do </w:t>
      </w:r>
      <w:r w:rsidR="001528D7" w:rsidRPr="00E35834">
        <w:rPr>
          <w:rFonts w:ascii="Garamond" w:hAnsi="Garamond"/>
          <w:b/>
          <w:bCs/>
          <w:sz w:val="23"/>
          <w:szCs w:val="23"/>
          <w:u w:val="single"/>
        </w:rPr>
        <w:t xml:space="preserve">godz. </w:t>
      </w:r>
      <w:r w:rsidR="005914D5">
        <w:rPr>
          <w:rFonts w:ascii="Garamond" w:hAnsi="Garamond"/>
          <w:b/>
          <w:bCs/>
          <w:sz w:val="23"/>
          <w:szCs w:val="23"/>
          <w:u w:val="single"/>
        </w:rPr>
        <w:t xml:space="preserve">  </w:t>
      </w:r>
      <w:r w:rsidR="005771C9" w:rsidRPr="00E35834">
        <w:rPr>
          <w:rFonts w:ascii="Garamond" w:hAnsi="Garamond"/>
          <w:b/>
          <w:bCs/>
          <w:sz w:val="23"/>
          <w:szCs w:val="23"/>
          <w:u w:val="single"/>
        </w:rPr>
        <w:t>10.00</w:t>
      </w:r>
      <w:r w:rsidR="001528D7" w:rsidRPr="00E35834">
        <w:rPr>
          <w:rFonts w:ascii="Garamond" w:hAnsi="Garamond"/>
          <w:b/>
          <w:bCs/>
          <w:sz w:val="23"/>
          <w:szCs w:val="23"/>
        </w:rPr>
        <w:t xml:space="preserve"> </w:t>
      </w:r>
      <w:r w:rsidRPr="00C05C52">
        <w:rPr>
          <w:rFonts w:ascii="Garamond" w:hAnsi="Garamond"/>
          <w:sz w:val="23"/>
          <w:szCs w:val="23"/>
        </w:rPr>
        <w:br/>
      </w:r>
      <w:r w:rsidR="00FA234A">
        <w:rPr>
          <w:rFonts w:ascii="Garamond" w:hAnsi="Garamond"/>
          <w:sz w:val="23"/>
          <w:szCs w:val="23"/>
        </w:rPr>
        <w:t xml:space="preserve">2. </w:t>
      </w:r>
      <w:r w:rsidR="00FA234A" w:rsidRPr="00FA234A">
        <w:rPr>
          <w:rFonts w:ascii="Garamond" w:hAnsi="Garamond" w:cs="Arial"/>
          <w:bCs/>
          <w:sz w:val="23"/>
          <w:szCs w:val="23"/>
        </w:rPr>
        <w:t xml:space="preserve">Wykonawca przygotowuje ofertę przy pomocy „Formularza ofertowego”, stanowiącego </w:t>
      </w:r>
      <w:r w:rsidR="00FA234A" w:rsidRPr="00FA234A">
        <w:rPr>
          <w:rFonts w:ascii="Garamond" w:hAnsi="Garamond" w:cs="Arial"/>
          <w:sz w:val="23"/>
          <w:szCs w:val="23"/>
          <w:u w:val="single"/>
        </w:rPr>
        <w:t>załącznik nr 1 SWZ</w:t>
      </w:r>
      <w:r w:rsidR="00FA234A" w:rsidRPr="00FA234A">
        <w:rPr>
          <w:rFonts w:ascii="Garamond" w:hAnsi="Garamond" w:cs="Arial"/>
          <w:bCs/>
          <w:sz w:val="23"/>
          <w:szCs w:val="23"/>
        </w:rPr>
        <w:t xml:space="preserve"> udostępnionego przez Zamawiającego na Platformie e-Zamówienia i zamieszczonego w podglądzie postępowania w zakładce „Informacje podstawowe”.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Następnie wykonawca powinien pobrać „Formularz ofertowy”, zapisać go na dysku komputera użytkownika, uzupełnić danymi wymaganymi przez Zamawiającego i ponownie zapisać na dysku komputera użytkownika oraz podpisać odpowiednim rodzajem podpisu elektronicznego, zgodnie z pkt 6.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A234A">
        <w:rPr>
          <w:rFonts w:ascii="Garamond" w:hAnsi="Garamond" w:cs="Arial"/>
          <w:bCs/>
          <w:sz w:val="23"/>
          <w:szCs w:val="23"/>
        </w:rPr>
        <w:t>drag&amp;drop</w:t>
      </w:r>
      <w:proofErr w:type="spellEnd"/>
      <w:r w:rsidRPr="00FA234A">
        <w:rPr>
          <w:rFonts w:ascii="Garamond" w:hAnsi="Garamond" w:cs="Arial"/>
          <w:bCs/>
          <w:sz w:val="23"/>
          <w:szCs w:val="23"/>
        </w:rPr>
        <w:t xml:space="preserve"> („przeciągnij” i „upuść”) służące do dodawania plików.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 xml:space="preserve">Formularz ofertowy podpisuje się kwalifikowanym podpisem elektronicznym, podpisem zaufanym lub podpisem osobistym (elektronicznym).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:rsidR="00FA234A" w:rsidRPr="00FA234A" w:rsidRDefault="00FA234A" w:rsidP="00FA234A">
      <w:pPr>
        <w:ind w:left="357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 xml:space="preserve">Pozostałe dokumenty wchodzące w skład oferty lub składane wraz z ofertą, które są zgodne z ustawą </w:t>
      </w:r>
      <w:proofErr w:type="spellStart"/>
      <w:r w:rsidRPr="00FA234A">
        <w:rPr>
          <w:rFonts w:ascii="Garamond" w:hAnsi="Garamond" w:cs="Arial"/>
          <w:bCs/>
          <w:sz w:val="23"/>
          <w:szCs w:val="23"/>
        </w:rPr>
        <w:t>Pzp</w:t>
      </w:r>
      <w:proofErr w:type="spellEnd"/>
      <w:r w:rsidRPr="00FA234A">
        <w:rPr>
          <w:rFonts w:ascii="Garamond" w:hAnsi="Garamond" w:cs="Arial"/>
          <w:bCs/>
          <w:sz w:val="23"/>
          <w:szCs w:val="23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FA234A" w:rsidRPr="00FA234A" w:rsidRDefault="00FA234A" w:rsidP="00FA234A">
      <w:pPr>
        <w:ind w:left="357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Oferta może być złożona tylko do upływu terminu składania ofert.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lastRenderedPageBreak/>
        <w:t>Wykonawca może przed upływem terminu składania ofert wycofać ofertę. Wykonawca wycofuje ofertę w zakładce „Oferty/wnioski” używając przycisku „Wycofaj ofertę”.</w:t>
      </w:r>
    </w:p>
    <w:p w:rsidR="00FA234A" w:rsidRPr="00FA234A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hAnsi="Garamond" w:cs="Arial"/>
          <w:bCs/>
          <w:sz w:val="23"/>
          <w:szCs w:val="23"/>
        </w:rPr>
        <w:t>Maksymalny łączny rozmiar plików stanowiących ofertę lub składanych wraz z ofertą to 250 MB.</w:t>
      </w:r>
    </w:p>
    <w:p w:rsidR="00FA234A" w:rsidRPr="00D8560B" w:rsidRDefault="00FA234A" w:rsidP="00FA234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Garamond" w:hAnsi="Garamond" w:cs="Arial"/>
          <w:bCs/>
          <w:sz w:val="23"/>
          <w:szCs w:val="23"/>
        </w:rPr>
      </w:pPr>
      <w:r w:rsidRPr="00FA234A">
        <w:rPr>
          <w:rFonts w:ascii="Garamond" w:eastAsia="Calibri" w:hAnsi="Garamond" w:cs="Arial"/>
          <w:sz w:val="23"/>
          <w:szCs w:val="23"/>
        </w:rPr>
        <w:t>Sposób złożenia oferty udostępniony został pod adresem: https://www.uzp.gov.pl/strona-glowna/slider-aktualnosci/platforma-e-zamowienia-na-youtube/platforma-e-zamowienia-na-youtube.</w:t>
      </w:r>
    </w:p>
    <w:p w:rsidR="004415AA" w:rsidRDefault="00036F69" w:rsidP="00D8560B">
      <w:pPr>
        <w:pStyle w:val="Lista"/>
        <w:spacing w:before="0" w:line="240" w:lineRule="auto"/>
        <w:jc w:val="left"/>
        <w:rPr>
          <w:rFonts w:ascii="Garamond" w:hAnsi="Garamond"/>
          <w:b/>
          <w:bCs/>
          <w:sz w:val="23"/>
          <w:szCs w:val="23"/>
        </w:rPr>
      </w:pPr>
      <w:r>
        <w:rPr>
          <w:sz w:val="23"/>
          <w:szCs w:val="23"/>
        </w:rPr>
        <w:br/>
      </w:r>
      <w:r w:rsidR="00D8560B">
        <w:rPr>
          <w:rFonts w:ascii="Garamond" w:hAnsi="Garamond"/>
          <w:b/>
          <w:bCs/>
          <w:sz w:val="23"/>
          <w:szCs w:val="23"/>
        </w:rPr>
        <w:t xml:space="preserve">XIV. </w:t>
      </w:r>
      <w:r w:rsidR="001528D7" w:rsidRPr="00D8560B">
        <w:rPr>
          <w:rFonts w:ascii="Garamond" w:hAnsi="Garamond"/>
          <w:b/>
          <w:bCs/>
          <w:sz w:val="23"/>
          <w:szCs w:val="23"/>
        </w:rPr>
        <w:t>TER</w:t>
      </w:r>
      <w:r w:rsidR="00D8560B">
        <w:rPr>
          <w:rFonts w:ascii="Garamond" w:hAnsi="Garamond"/>
          <w:b/>
          <w:bCs/>
          <w:sz w:val="23"/>
          <w:szCs w:val="23"/>
        </w:rPr>
        <w:t>MIN OTWARCIA OFERT</w:t>
      </w:r>
    </w:p>
    <w:p w:rsidR="00FA234A" w:rsidRPr="00E35834" w:rsidRDefault="00036F69" w:rsidP="00D8560B">
      <w:pPr>
        <w:pStyle w:val="Lista"/>
        <w:spacing w:before="0" w:line="240" w:lineRule="auto"/>
        <w:jc w:val="left"/>
        <w:rPr>
          <w:rFonts w:ascii="Garamond" w:eastAsia="Calibri" w:hAnsi="Garamond" w:cs="Arial"/>
          <w:w w:val="100"/>
          <w:sz w:val="23"/>
          <w:szCs w:val="23"/>
          <w:lang w:eastAsia="en-US"/>
        </w:rPr>
      </w:pPr>
      <w:r w:rsidRPr="00D8560B">
        <w:rPr>
          <w:rFonts w:ascii="Garamond" w:hAnsi="Garamond"/>
          <w:sz w:val="23"/>
          <w:szCs w:val="23"/>
        </w:rPr>
        <w:br/>
      </w:r>
      <w:r w:rsidR="001528D7" w:rsidRPr="00D8560B">
        <w:rPr>
          <w:rFonts w:ascii="Garamond" w:hAnsi="Garamond"/>
          <w:b/>
          <w:bCs/>
          <w:sz w:val="23"/>
          <w:szCs w:val="23"/>
        </w:rPr>
        <w:t xml:space="preserve">1. </w:t>
      </w:r>
      <w:r w:rsidR="00FA234A" w:rsidRPr="00D8560B">
        <w:rPr>
          <w:rFonts w:ascii="Garamond" w:eastAsia="Calibri" w:hAnsi="Garamond" w:cs="Arial"/>
          <w:w w:val="100"/>
          <w:sz w:val="23"/>
          <w:szCs w:val="23"/>
          <w:lang w:eastAsia="en-US"/>
        </w:rPr>
        <w:t xml:space="preserve">Otwarcie ofert nastąpi w dniu </w:t>
      </w:r>
      <w:r w:rsidR="00E35834" w:rsidRPr="00E35834">
        <w:rPr>
          <w:rFonts w:ascii="Garamond" w:eastAsia="Calibri" w:hAnsi="Garamond" w:cs="Arial"/>
          <w:b/>
          <w:bCs/>
          <w:w w:val="100"/>
          <w:sz w:val="23"/>
          <w:szCs w:val="23"/>
          <w:u w:val="single"/>
          <w:lang w:eastAsia="en-US"/>
        </w:rPr>
        <w:t xml:space="preserve">23.12.2024  </w:t>
      </w:r>
      <w:r w:rsidR="00FA234A" w:rsidRPr="00E35834">
        <w:rPr>
          <w:rFonts w:ascii="Garamond" w:eastAsia="Calibri" w:hAnsi="Garamond" w:cs="Arial"/>
          <w:b/>
          <w:bCs/>
          <w:w w:val="100"/>
          <w:sz w:val="23"/>
          <w:szCs w:val="23"/>
          <w:u w:val="single"/>
          <w:lang w:eastAsia="en-US"/>
        </w:rPr>
        <w:t>r. o godz. 10:30</w:t>
      </w:r>
    </w:p>
    <w:p w:rsidR="00FA234A" w:rsidRPr="00D8560B" w:rsidRDefault="00FA234A" w:rsidP="00FA234A">
      <w:pPr>
        <w:pStyle w:val="Lista"/>
        <w:numPr>
          <w:ilvl w:val="0"/>
          <w:numId w:val="25"/>
        </w:numPr>
        <w:spacing w:before="0" w:line="240" w:lineRule="auto"/>
        <w:rPr>
          <w:rFonts w:ascii="Garamond" w:eastAsia="Calibri" w:hAnsi="Garamond" w:cs="Arial"/>
          <w:w w:val="100"/>
          <w:sz w:val="23"/>
          <w:szCs w:val="23"/>
          <w:lang w:eastAsia="en-US"/>
        </w:rPr>
      </w:pPr>
      <w:r w:rsidRPr="00D8560B">
        <w:rPr>
          <w:rFonts w:ascii="Garamond" w:eastAsia="Calibri" w:hAnsi="Garamond" w:cs="Arial"/>
          <w:w w:val="100"/>
          <w:sz w:val="23"/>
          <w:szCs w:val="23"/>
          <w:lang w:eastAsia="en-US"/>
        </w:rPr>
        <w:t>Otwarcie ofert nie jest jawne. Zamawiający nie przewiduje uczestnictwa przedstawicieli wykonawcy oraz innych osób w sesji otwarcia ofert.</w:t>
      </w:r>
    </w:p>
    <w:p w:rsidR="00FA234A" w:rsidRPr="00D8560B" w:rsidRDefault="00FA234A" w:rsidP="00FA234A">
      <w:pPr>
        <w:pStyle w:val="Lista"/>
        <w:numPr>
          <w:ilvl w:val="0"/>
          <w:numId w:val="25"/>
        </w:numPr>
        <w:spacing w:before="0" w:line="240" w:lineRule="auto"/>
        <w:rPr>
          <w:rFonts w:ascii="Garamond" w:eastAsia="Calibri" w:hAnsi="Garamond" w:cs="Arial"/>
          <w:w w:val="100"/>
          <w:sz w:val="23"/>
          <w:szCs w:val="23"/>
          <w:lang w:eastAsia="en-US"/>
        </w:rPr>
      </w:pPr>
      <w:r w:rsidRPr="00D8560B">
        <w:rPr>
          <w:rFonts w:ascii="Garamond" w:eastAsia="Calibri" w:hAnsi="Garamond" w:cs="Arial"/>
          <w:w w:val="100"/>
          <w:sz w:val="23"/>
          <w:szCs w:val="23"/>
          <w:lang w:eastAsia="en-US"/>
        </w:rPr>
        <w:t>W przypadku awarii systemu, która powoduje brak możliwości otwarcia ofert w terminie określonym przez zamawiającego, otwarcie ofert następuje niezwłocznie po usunięciu awarii.</w:t>
      </w:r>
    </w:p>
    <w:p w:rsidR="00BC1697" w:rsidRPr="004E116F" w:rsidRDefault="00036F69" w:rsidP="003A05E2">
      <w:pPr>
        <w:pStyle w:val="Default"/>
        <w:tabs>
          <w:tab w:val="left" w:pos="3750"/>
        </w:tabs>
        <w:spacing w:after="13229"/>
        <w:rPr>
          <w:rFonts w:cstheme="minorBidi"/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br/>
      </w:r>
      <w:r w:rsidR="00D8560B">
        <w:rPr>
          <w:b/>
          <w:bCs/>
          <w:color w:val="auto"/>
          <w:sz w:val="23"/>
          <w:szCs w:val="23"/>
        </w:rPr>
        <w:t>2</w:t>
      </w:r>
      <w:r w:rsidR="001528D7">
        <w:rPr>
          <w:b/>
          <w:bCs/>
          <w:color w:val="auto"/>
          <w:sz w:val="23"/>
          <w:szCs w:val="23"/>
        </w:rPr>
        <w:t xml:space="preserve">. Otwarcia i oceny ofert dokona komisja powołana przez kierownika zamawiającego. </w:t>
      </w:r>
      <w:r>
        <w:rPr>
          <w:color w:val="auto"/>
          <w:sz w:val="23"/>
          <w:szCs w:val="23"/>
        </w:rPr>
        <w:br/>
      </w:r>
      <w:r w:rsidR="00D8560B">
        <w:rPr>
          <w:b/>
          <w:bCs/>
          <w:color w:val="auto"/>
          <w:sz w:val="23"/>
          <w:szCs w:val="23"/>
        </w:rPr>
        <w:t>3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 xml:space="preserve">Zamawiający, najpóźniej przed otwarciem ofert, udostępni na stronie internetowej prowadzonego postępowania informację o kwocie, jaka zamierza przeznaczyć na sfinansowanie zamówienia. </w:t>
      </w:r>
      <w:r>
        <w:rPr>
          <w:color w:val="auto"/>
          <w:sz w:val="23"/>
          <w:szCs w:val="23"/>
        </w:rPr>
        <w:br/>
      </w:r>
      <w:r w:rsidR="00D8560B">
        <w:rPr>
          <w:b/>
          <w:bCs/>
          <w:color w:val="auto"/>
          <w:sz w:val="23"/>
          <w:szCs w:val="23"/>
        </w:rPr>
        <w:t>4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 xml:space="preserve">Niezwłocznie po otwarciu ofert zamawiający zamieszcza na stronie internetowej prowadzonego postępowania informacje o: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a) nazwach albo imionach i nazwiskach oraz siedzibach lub miejscach prowadzonej działalności gospodarczej albo miejscach zamieszkania wykonawców, których oferty zostały otwarte;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b) cenach lub kosztach zawartych w ofertach. </w:t>
      </w:r>
      <w:r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XV. PODSTAWY WYKLUCZENIA </w:t>
      </w:r>
      <w:r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1. </w:t>
      </w:r>
      <w:r w:rsidR="001528D7">
        <w:rPr>
          <w:color w:val="auto"/>
          <w:sz w:val="23"/>
          <w:szCs w:val="23"/>
        </w:rPr>
        <w:t xml:space="preserve">Zamawiający wykluczy z postępowania wykonawcę w przypadkach, o których mowa w </w:t>
      </w:r>
      <w:r w:rsidR="001528D7" w:rsidRPr="00E35834">
        <w:rPr>
          <w:b/>
          <w:color w:val="auto"/>
          <w:sz w:val="23"/>
          <w:szCs w:val="23"/>
          <w:u w:val="single"/>
        </w:rPr>
        <w:t>art. 108 ust</w:t>
      </w:r>
      <w:r w:rsidR="001528D7">
        <w:rPr>
          <w:color w:val="auto"/>
          <w:sz w:val="23"/>
          <w:szCs w:val="23"/>
        </w:rPr>
        <w:t xml:space="preserve">. 1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(przesłanki wykluczenia obligatoryjne) tj. wykonawcę: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Będącego osobą fizyczną, którego prawomocnie skazano za przestępstwo: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a) udziału w zorganizowanej grupie przestępczej albo związku mającym na celu popełnienie przestępstwa lub przestępstwa skarbowego, o którym mowa w art. 258 Kodeksu karnego,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b) handlu ludźmi, o którym mowa w art. 189a Kodeksu karnego,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c) o którym mowa w art. 228–230a, art. 250a Kodeksu karnego, w ar</w:t>
      </w:r>
      <w:r w:rsidR="000E0A61">
        <w:rPr>
          <w:b/>
          <w:bCs/>
          <w:color w:val="auto"/>
          <w:sz w:val="23"/>
          <w:szCs w:val="23"/>
        </w:rPr>
        <w:t>t</w:t>
      </w:r>
      <w:r w:rsidR="001528D7">
        <w:rPr>
          <w:color w:val="auto"/>
          <w:sz w:val="23"/>
          <w:szCs w:val="23"/>
        </w:rPr>
        <w:t xml:space="preserve">. 46– 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e) o charakterze terrorystycznym, o którym mowa w art. 115 § 20 Kodeksu karnego, lub mające na celu popełnienie tego przestępstwa, </w:t>
      </w:r>
      <w:r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</w:t>
      </w:r>
      <w:r w:rsidR="00000F3C">
        <w:rPr>
          <w:color w:val="auto"/>
          <w:sz w:val="23"/>
          <w:szCs w:val="23"/>
        </w:rPr>
        <w:t xml:space="preserve"> przestępstwo skarbowe,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lastRenderedPageBreak/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4) Wobec którego prawomocnie orzeczono zakaz ubiegania się o zamówienia publiczne;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8336BE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Z postępowania o udzielenie zamówienia zamawiający wykluczy także wykonawcę w następujących przypadkach – wybrane przez zamawiającego przesłanki wykluczenia fakultatywne, przewidziane w </w:t>
      </w:r>
      <w:r w:rsidR="001528D7" w:rsidRPr="00E35834">
        <w:rPr>
          <w:b/>
          <w:color w:val="auto"/>
          <w:sz w:val="23"/>
          <w:szCs w:val="23"/>
          <w:u w:val="single"/>
        </w:rPr>
        <w:t>art. 109</w:t>
      </w:r>
      <w:r w:rsidR="001528D7">
        <w:rPr>
          <w:color w:val="auto"/>
          <w:sz w:val="23"/>
          <w:szCs w:val="23"/>
        </w:rPr>
        <w:t xml:space="preserve"> ust. 1 pkt 4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: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  <w:r w:rsidR="008336BE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3. </w:t>
      </w:r>
      <w:r w:rsidR="001528D7">
        <w:rPr>
          <w:color w:val="auto"/>
          <w:sz w:val="23"/>
          <w:szCs w:val="23"/>
        </w:rPr>
        <w:t xml:space="preserve">Z postępowania o udzielenie zamówienia wyklucza się wykonawcę w przypadkach, o których mowa w art. 7 ust. 1 ustawy z dnia 13 kwietnia 2022 r. o szczególnych rozwiązaniach w zakresie przeciwdziałania wspieraniu agresji na Ukrainę oraz służących ochronie bezpieczeństwa narodowego (Dz.U. 2022 poz. 835). Do Wykonawcy podlegającego wykluczeniu w tym zakresie, stosuje się art. 7 ust. 3 wspomnianej ustawy.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4. </w:t>
      </w:r>
      <w:r w:rsidR="001528D7">
        <w:rPr>
          <w:color w:val="auto"/>
          <w:sz w:val="23"/>
          <w:szCs w:val="23"/>
        </w:rPr>
        <w:t xml:space="preserve">Wykonawca, żaden ze wspólników konsorcjum (w przypadku składania oferty wspólnej), żaden ze wspólników spółki cywilnej ani żaden podmiot, na którego zasoby powołuje się wykonawca w celu spełnienia warunków udziału w postępowaniu nie może podlegać wykluczeniu z postępowania na podstawie żadnej z przesłanek, o których mowa w art. 108 ust. 1, art. 109 ust.1 pkt. 4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oraz w art. 7 ust. 1 ustawy z dnia 13 kwietnia 2022 r. o szczególnych rozwiązaniach w zakresie przeciwdziałania wspieraniu agresji na Ukrainę oraz służących ochronie bezpieczeństwa nar</w:t>
      </w:r>
      <w:r w:rsidR="00C05C52">
        <w:rPr>
          <w:color w:val="auto"/>
          <w:sz w:val="23"/>
          <w:szCs w:val="23"/>
        </w:rPr>
        <w:t>odowego (Dz.U. 2023 poz. 1605</w:t>
      </w:r>
      <w:r w:rsidR="00000F3C">
        <w:rPr>
          <w:color w:val="auto"/>
          <w:sz w:val="23"/>
          <w:szCs w:val="23"/>
        </w:rPr>
        <w:t xml:space="preserve">). </w:t>
      </w:r>
      <w:r w:rsidR="006F255F">
        <w:rPr>
          <w:color w:val="auto"/>
          <w:sz w:val="23"/>
          <w:szCs w:val="23"/>
        </w:rPr>
        <w:br/>
      </w:r>
      <w:r w:rsidR="001528D7">
        <w:rPr>
          <w:rFonts w:cstheme="minorBidi"/>
          <w:b/>
          <w:bCs/>
          <w:color w:val="auto"/>
          <w:sz w:val="23"/>
          <w:szCs w:val="23"/>
        </w:rPr>
        <w:t xml:space="preserve">5. </w:t>
      </w:r>
      <w:r w:rsidR="001528D7">
        <w:rPr>
          <w:color w:val="auto"/>
          <w:sz w:val="23"/>
          <w:szCs w:val="23"/>
        </w:rPr>
        <w:t xml:space="preserve">Wykonawca nie podlega wykluczeniu w okolicznościach określonych w art. 108 ust. 1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lub art. 109 ust. 1 pkt 4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>, jeżeli udowodni zamawiającemu, że spełnił łącznie następujące przesłanki</w:t>
      </w:r>
      <w:r w:rsidR="001528D7">
        <w:rPr>
          <w:b/>
          <w:bCs/>
          <w:color w:val="auto"/>
          <w:sz w:val="23"/>
          <w:szCs w:val="23"/>
        </w:rPr>
        <w:t xml:space="preserve">: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1) naprawił lub zobowiązał się do naprawienia szkody wyrządzonej przestępstwem, wykroczeniem lub swoim nieprawidłowym postępowaniem, w tym poprzez zadość</w:t>
      </w:r>
      <w:r w:rsidR="00D8560B">
        <w:rPr>
          <w:color w:val="auto"/>
          <w:sz w:val="23"/>
          <w:szCs w:val="23"/>
        </w:rPr>
        <w:t xml:space="preserve"> </w:t>
      </w:r>
      <w:r w:rsidR="001528D7">
        <w:rPr>
          <w:color w:val="auto"/>
          <w:sz w:val="23"/>
          <w:szCs w:val="23"/>
        </w:rPr>
        <w:t xml:space="preserve">uczynienie pieniężne;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a) zerwał wszelkie powiązania z osobami lub podmiotami odpowiedzialnymi za nieprawidłowe postępowanie wykonawcy,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b) zreorganizował personel,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c) wdrożył system sprawozdawczości i kontroli,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d) utworzył struktury audytu wewnętrznego do monitorowania przestrzegania przepisów, wewnętrznych regulacji lub standardów,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e) wprowadził wewnętrzne regulacje dotyczące odpowiedzialności i odszkodowań za nieprzestrzeganie przepisów, wewnętrznych regulacji lub standardów.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lastRenderedPageBreak/>
        <w:t xml:space="preserve">6. </w:t>
      </w:r>
      <w:r w:rsidR="001528D7">
        <w:rPr>
          <w:color w:val="auto"/>
          <w:sz w:val="23"/>
          <w:szCs w:val="23"/>
        </w:rPr>
        <w:t xml:space="preserve">Wykonawca nie podlega wykluczeniu, jeżeli zamawiający, uwzględniając wagę i szczególne okoliczności czynu wykonawcy, uznał za wystarczające dowody, o których mowa w pkt. 5. </w:t>
      </w:r>
      <w:r w:rsidR="006F255F">
        <w:rPr>
          <w:color w:val="auto"/>
          <w:sz w:val="23"/>
          <w:szCs w:val="23"/>
        </w:rPr>
        <w:br/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>XVI. WARUNKI UDZIAŁU W POSTĘPOWANIU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 1. </w:t>
      </w:r>
      <w:r w:rsidR="001528D7">
        <w:rPr>
          <w:color w:val="auto"/>
          <w:sz w:val="23"/>
          <w:szCs w:val="23"/>
        </w:rPr>
        <w:t xml:space="preserve">O udzielenie zamówienia mogą ubiegać się wykonawcy, którzy spełniają następujące warunki udziału w postępowaniu dotyczące uprawnień do prowadzenia określonej działalności gospodarczej lub zawodowej, o ile wynika to z odrębnych przepisów: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</w:t>
      </w:r>
      <w:r w:rsidR="00454D7E">
        <w:rPr>
          <w:color w:val="auto"/>
          <w:sz w:val="23"/>
          <w:szCs w:val="23"/>
        </w:rPr>
        <w:t xml:space="preserve">o </w:t>
      </w:r>
      <w:r w:rsidR="001528D7">
        <w:rPr>
          <w:color w:val="auto"/>
          <w:sz w:val="23"/>
          <w:szCs w:val="23"/>
        </w:rPr>
        <w:t>zamówienie mogą się ubiegać wykonawcy, którzy posiadają odpowiednie z</w:t>
      </w:r>
      <w:r w:rsidR="001528D7" w:rsidRPr="00000F3C">
        <w:rPr>
          <w:color w:val="auto"/>
          <w:sz w:val="23"/>
          <w:szCs w:val="23"/>
          <w:u w:val="single"/>
        </w:rPr>
        <w:t>ezwolenie, licencję, koncesję lub wpis do rejestru działalności regulowanej, jeżeli Wykonawca wykaże się posiadaniem aktualnie obowiązującej koncesji wydanej przez Prezesa Urzędu Regulacji Energetyk</w:t>
      </w:r>
      <w:r w:rsidR="001528D7">
        <w:rPr>
          <w:color w:val="auto"/>
          <w:sz w:val="23"/>
          <w:szCs w:val="23"/>
        </w:rPr>
        <w:t>i na prowadzenie działalności gospodarczej:</w:t>
      </w:r>
      <w:r w:rsidR="00000F3C">
        <w:rPr>
          <w:color w:val="auto"/>
          <w:sz w:val="23"/>
          <w:szCs w:val="23"/>
        </w:rPr>
        <w:t xml:space="preserve">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a) w zakresie</w:t>
      </w:r>
      <w:r w:rsidR="00000F3C">
        <w:rPr>
          <w:color w:val="auto"/>
          <w:sz w:val="23"/>
          <w:szCs w:val="23"/>
        </w:rPr>
        <w:t xml:space="preserve"> obrotu paliwami gazowymi oraz </w:t>
      </w:r>
      <w:r w:rsidR="00000F3C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b) w zakresie dystrybucji paliwami gazowymi - w przypadku Wykonawców będących właścicielami sieci dystrybucyjnej lub podpisaną aktualną umowę z Operatorem Systemu Dystrybucyjnego (OSD) na świadczenie usług dystrybucji</w:t>
      </w:r>
      <w:bookmarkStart w:id="0" w:name="_GoBack"/>
      <w:bookmarkEnd w:id="0"/>
      <w:r w:rsidR="001528D7">
        <w:rPr>
          <w:color w:val="auto"/>
          <w:sz w:val="23"/>
          <w:szCs w:val="23"/>
        </w:rPr>
        <w:t xml:space="preserve"> gazu na obszarze, na którym znajduje się miejsce dostarczania paliwa gazowego objętego zamówieniem - w przypadku Wykonawców nie będących właśc</w:t>
      </w:r>
      <w:r w:rsidR="00000F3C">
        <w:rPr>
          <w:color w:val="auto"/>
          <w:sz w:val="23"/>
          <w:szCs w:val="23"/>
        </w:rPr>
        <w:t xml:space="preserve">icielami sieci dystrybucyjnej; </w:t>
      </w:r>
      <w:r w:rsidR="00000F3C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 </w:t>
      </w:r>
      <w:r w:rsidR="00000F3C">
        <w:rPr>
          <w:color w:val="auto"/>
          <w:sz w:val="23"/>
          <w:szCs w:val="23"/>
        </w:rPr>
        <w:br/>
      </w:r>
      <w:r w:rsidR="00000F3C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XVII. INFORMACJA O PODMIOTOWYCH ŚRODKACH DOWODOWYCH </w:t>
      </w:r>
      <w:r w:rsidR="00000F3C">
        <w:rPr>
          <w:color w:val="auto"/>
          <w:sz w:val="23"/>
          <w:szCs w:val="23"/>
        </w:rPr>
        <w:br/>
      </w:r>
      <w:r w:rsidR="001528D7">
        <w:rPr>
          <w:rFonts w:cstheme="minorBidi"/>
          <w:b/>
          <w:bCs/>
          <w:color w:val="auto"/>
          <w:sz w:val="23"/>
          <w:szCs w:val="23"/>
        </w:rPr>
        <w:t xml:space="preserve">1. </w:t>
      </w:r>
      <w:r w:rsidR="001528D7">
        <w:rPr>
          <w:color w:val="auto"/>
          <w:sz w:val="23"/>
          <w:szCs w:val="23"/>
        </w:rPr>
        <w:t>Oświadczenie o niepodleganiu wykluczeniu, spełnianiu warunków udziału w postępowaniu lub kryteriów selekcji, w zakresie wskazanym przez zamawiającego (</w:t>
      </w:r>
      <w:r w:rsidR="004415AA" w:rsidRPr="005914D5">
        <w:rPr>
          <w:color w:val="auto"/>
          <w:sz w:val="23"/>
          <w:szCs w:val="23"/>
        </w:rPr>
        <w:t>załącznik nr 3</w:t>
      </w:r>
      <w:r w:rsidR="001528D7" w:rsidRPr="005914D5">
        <w:rPr>
          <w:color w:val="auto"/>
          <w:sz w:val="23"/>
          <w:szCs w:val="23"/>
        </w:rPr>
        <w:t xml:space="preserve"> do SWZ). </w:t>
      </w:r>
      <w:r w:rsidR="00000F3C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W przypadku wspólnego ubiegania się o zamówienie przez wykonawców, oświadczenie, o którym mowa powyżej,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 Wykonawca, w przypadku polegania na zdolnościach lub sytuacji podmiotów udostępniających zasoby, przedstawia, wraz z ww. oświadczeniem, także oświadczenie podmiotu udostępniającego zasoby, potwierdzające brak podstaw wykluczenia tego podmiotu oraz odpowiednio spełnianie warunków udziału w postępowaniu lub kryteriów selekcji, w zakresie, w jakim wykonawca powołuje się na jego zasoby. </w:t>
      </w:r>
      <w:r w:rsidR="00000F3C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Przed udzieleniem zamówienia zamawiający wezwie wykonawcę, którego oferta została najwyżej oceniona, do złożenia w wyznaczonym terminie, </w:t>
      </w:r>
      <w:r w:rsidR="001528D7" w:rsidRPr="00000F3C">
        <w:rPr>
          <w:color w:val="auto"/>
          <w:sz w:val="23"/>
          <w:szCs w:val="23"/>
          <w:u w:val="single"/>
        </w:rPr>
        <w:t>nie krótszym niż 5 dni</w:t>
      </w:r>
      <w:r w:rsidR="001528D7">
        <w:rPr>
          <w:color w:val="auto"/>
          <w:sz w:val="23"/>
          <w:szCs w:val="23"/>
        </w:rPr>
        <w:t xml:space="preserve"> od dnia wezwania, podmiotowych środków dowodowych, aktualnych na dzień złożenia podmiotowych środków dowodowych tj. </w:t>
      </w:r>
      <w:r w:rsidR="00000F3C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1). </w:t>
      </w:r>
      <w:r w:rsidR="001528D7" w:rsidRPr="004415AA">
        <w:rPr>
          <w:b/>
          <w:color w:val="auto"/>
          <w:sz w:val="23"/>
          <w:szCs w:val="23"/>
        </w:rPr>
        <w:t>Potwierdzających spełnianie warunków uczestnictwa w postępowaniu</w:t>
      </w:r>
      <w:r w:rsidR="001528D7">
        <w:rPr>
          <w:color w:val="auto"/>
          <w:sz w:val="23"/>
          <w:szCs w:val="23"/>
        </w:rPr>
        <w:t xml:space="preserve">: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W celu potwierdzenia spełniania przez wykonawcę warunku udziału w postępowaniu dotyczącym uprawnień do prowadzenia określonej działalności gospodarczej lub zawodowej, o ile wynika to z odrębnych przepisów: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a) </w:t>
      </w:r>
      <w:r w:rsidR="001528D7" w:rsidRPr="00000F3C">
        <w:rPr>
          <w:color w:val="auto"/>
          <w:sz w:val="23"/>
          <w:szCs w:val="23"/>
          <w:u w:val="single"/>
        </w:rPr>
        <w:t>aktualna koncesja</w:t>
      </w:r>
      <w:r w:rsidR="001528D7">
        <w:rPr>
          <w:color w:val="auto"/>
          <w:sz w:val="23"/>
          <w:szCs w:val="23"/>
        </w:rPr>
        <w:t xml:space="preserve"> wydana przez Prezesa Urzędu Regulacji Energetyki na prowadzenie działalności gospodarczej w zakresie obrotu paliwami gazowymi oraz w zakresie dystrybucji paliwami gazowymi - w przypadku Wykonawców będących właścicielami sieci dystrybucyjnej lub podpisaną aktualną umowę z Operatorem Systemu Dystrybucyjnego (OSD) na świadczenie usług dystrybucji gazu na obszarze, na którym znajduje się miejsce dostarczania paliwa gazowego objętego zamówieniem - w przypadku Wykonawców nie będących właścicielami sieci dystrybucyjnej.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2). Potwierdzających brak podstaw do wykluczenia wykonawcy z udziału w postępowaniu: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a) oświadczenie wykonawcy, w zakresie art. 108 ust. 1 pkt 5 ustawy, </w:t>
      </w:r>
      <w:r w:rsidR="001528D7" w:rsidRPr="00000F3C">
        <w:rPr>
          <w:color w:val="auto"/>
          <w:sz w:val="23"/>
          <w:szCs w:val="23"/>
          <w:u w:val="single"/>
        </w:rPr>
        <w:t xml:space="preserve">o braku przynależności do tej samej grupy kapitałowej </w:t>
      </w:r>
      <w:r w:rsidR="001528D7">
        <w:rPr>
          <w:color w:val="auto"/>
          <w:sz w:val="23"/>
          <w:szCs w:val="23"/>
        </w:rPr>
        <w:t xml:space="preserve">w rozumieniu ustawy z dnia 16 lutego 2007 r. o ochronie konkurencji i konsumentów (Dz. U. z 2020 r. poz. 1076 i 1086), z innym wykonawcą, który złożył odrębną ofertę, ofertę częściową, albo oświadczenia o przynależności do tej samej grupy kapitałowej wraz z dokumentami lub informacjami potwierdzającymi przygotowanie oferty, oferty częściowej, </w:t>
      </w:r>
      <w:r w:rsidR="001528D7">
        <w:rPr>
          <w:color w:val="auto"/>
          <w:sz w:val="23"/>
          <w:szCs w:val="23"/>
        </w:rPr>
        <w:lastRenderedPageBreak/>
        <w:t>niezależnie od innego wykonawcy należącego do tej samej g</w:t>
      </w:r>
      <w:r w:rsidR="00000F3C">
        <w:rPr>
          <w:color w:val="auto"/>
          <w:sz w:val="23"/>
          <w:szCs w:val="23"/>
        </w:rPr>
        <w:t>rupy kapitałowej (załącznik nr 4</w:t>
      </w:r>
      <w:r w:rsidR="00CA25A9">
        <w:rPr>
          <w:color w:val="auto"/>
          <w:sz w:val="23"/>
          <w:szCs w:val="23"/>
        </w:rPr>
        <w:t xml:space="preserve"> do SWZ) </w:t>
      </w:r>
      <w:r w:rsidR="001528D7">
        <w:rPr>
          <w:color w:val="auto"/>
          <w:sz w:val="23"/>
          <w:szCs w:val="23"/>
        </w:rPr>
        <w:t xml:space="preserve">b) odpis lub informacja z Krajowego Rejestru Sądowego lub z Centralnej Ewidencji i Informacji o Działalności Gospodarczej, w zakresie art. 109 ust. 1 pkt 4 ustawy, sporządzonych nie wcześniej niż 3 miesiące przed jej złożeniem,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Jeżeli wykonawca ma siedzibę lub miejsce zamieszkania poza granicami Rzeczypospolitej Polskiej, zamiast odpisu albo informacji z Krajowego Rejestru Sądowego lub z Centralnej Ewidencji i Informacji o Działalności Gospodarczej – składa dokument lub dokumenty wystawione w kraju, w którym wykonawca ma siedzibę lub miejsce zamieszkania, potwierdzające odpowiednio, że nie otwarto jego likwidacji, nie ogłoszono upadłości, jego aktywami nie zarządza likwidator lub sąd, nie zawa</w:t>
      </w:r>
      <w:r w:rsidR="00CA25A9">
        <w:rPr>
          <w:color w:val="auto"/>
          <w:sz w:val="23"/>
          <w:szCs w:val="23"/>
        </w:rPr>
        <w:t xml:space="preserve">rł układu z wierzycielami, jego </w:t>
      </w:r>
      <w:r w:rsidR="001528D7">
        <w:rPr>
          <w:color w:val="auto"/>
          <w:sz w:val="23"/>
          <w:szCs w:val="23"/>
        </w:rPr>
        <w:t xml:space="preserve">działalność gospodarcza nie jest zawieszona ani nie znajduje się on w innej tego rodzaju sytuacji wynikającej z podobnej procedury przewidzianej w przepisach miejsca wszczęcia tej procedury.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Zamawiający żąda od wykonawcy, który polega na zdolnościach technicznych lub zawodowych lub sytuacji finansowej lub ekonomicznej podmiotów udostępniających zasoby na zasadach określonych w art. 118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, przedstawienia odpisu lub informacji z Krajowego Rejestru Sądowego lub z Centralnej Ewidencji i Informacji o Działalności Gospodarczej, w zakresie art. 109 ust. 1 pkt 4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, dotyczących tych podmiotów, potwierdzających, że nie zachodzą wobec tych podmiotów podstawy wykluczenia z postępowania. </w:t>
      </w:r>
      <w:r w:rsidR="008336BE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3. </w:t>
      </w:r>
      <w:r w:rsidR="001528D7">
        <w:rPr>
          <w:color w:val="auto"/>
          <w:sz w:val="23"/>
          <w:szCs w:val="23"/>
        </w:rPr>
        <w:t xml:space="preserve">Podmiotowe środki dowodowe oraz inne dokumenty lub oświadczenia sporządzone w języku obcym przekazuje się wraz z tłumaczeniem na język polski. </w:t>
      </w:r>
      <w:r w:rsidR="008336BE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4. </w:t>
      </w:r>
      <w:r w:rsidR="001528D7">
        <w:rPr>
          <w:color w:val="auto"/>
          <w:sz w:val="23"/>
          <w:szCs w:val="23"/>
        </w:rPr>
        <w:t xml:space="preserve">W przypadku gdy podmiotowe środki dowodowe,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5. </w:t>
      </w:r>
      <w:r w:rsidR="001528D7">
        <w:rPr>
          <w:color w:val="auto"/>
          <w:sz w:val="23"/>
          <w:szCs w:val="23"/>
        </w:rPr>
        <w:t xml:space="preserve">W przypadku gdy podmiotowe środki dowodowe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6. </w:t>
      </w:r>
      <w:r w:rsidR="001528D7">
        <w:rPr>
          <w:color w:val="auto"/>
          <w:sz w:val="23"/>
          <w:szCs w:val="23"/>
        </w:rPr>
        <w:t xml:space="preserve">Poświadczenia zgodności cyfrowego odwzorowania z dokumentem w postaci papierowej, o którym mowa w pkt 5, dokonuje w przypadku: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Przedmiotowych środków dowodowych – odpowiednio wykonawca lub wykonawca wspólnie ubiegający się o udzielenie zamówienia;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3) Innych dokumentów, w tym dokumentów, o których mowa w art. 94 ust. 2 ustawy – odpowiednio wykonawca lub wykonawca wspólnie ubiegający się o udzielenie zamówienia, w zakresie dokumentów, które każdego z nich dotyczą.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7. </w:t>
      </w:r>
      <w:r w:rsidR="001528D7">
        <w:rPr>
          <w:color w:val="auto"/>
          <w:sz w:val="23"/>
          <w:szCs w:val="23"/>
        </w:rPr>
        <w:t xml:space="preserve">Poświadczenia zgodności cyfrowego odwzorowania z dokumentem w postaci papierowej, o którym mowa w pkt 5, może dokonać również notariusz.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8. </w:t>
      </w:r>
      <w:r w:rsidR="001528D7">
        <w:rPr>
          <w:color w:val="auto"/>
          <w:sz w:val="23"/>
          <w:szCs w:val="23"/>
        </w:rPr>
        <w:t xml:space="preserve">Przez cyfrowe odwzorowanie, o którym mowa powyżej, należy rozumieć dokument elektroniczny będący kopią elektroniczną treści zapisanej w postaci papierowej, umożliwiający zapoznanie się z tą treścią i jej zrozumienie, bez konieczności bezpośredniego dostępu do oryginału. </w:t>
      </w:r>
      <w:r w:rsidR="006F255F">
        <w:rPr>
          <w:color w:val="auto"/>
          <w:sz w:val="23"/>
          <w:szCs w:val="23"/>
        </w:rPr>
        <w:br/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XVIII. WYMAGANIA DOTYCZĄCE WADIUM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Zamawiający nie wymaga wniesienia wadium. </w:t>
      </w:r>
      <w:r w:rsidR="006F255F">
        <w:rPr>
          <w:color w:val="auto"/>
          <w:sz w:val="23"/>
          <w:szCs w:val="23"/>
        </w:rPr>
        <w:br/>
      </w:r>
      <w:r w:rsidR="006F255F">
        <w:rPr>
          <w:color w:val="auto"/>
          <w:sz w:val="23"/>
          <w:szCs w:val="23"/>
        </w:rPr>
        <w:br/>
      </w:r>
      <w:r w:rsidR="001528D7" w:rsidRPr="005914D5">
        <w:rPr>
          <w:rFonts w:cstheme="minorBidi"/>
          <w:b/>
          <w:bCs/>
          <w:color w:val="auto"/>
          <w:sz w:val="23"/>
          <w:szCs w:val="23"/>
        </w:rPr>
        <w:lastRenderedPageBreak/>
        <w:t xml:space="preserve">XIX. OPIS SPOSOBU OBLICZENIA CENY </w:t>
      </w:r>
      <w:r w:rsidR="006F255F">
        <w:rPr>
          <w:color w:val="auto"/>
          <w:sz w:val="23"/>
          <w:szCs w:val="23"/>
        </w:rPr>
        <w:br/>
      </w:r>
      <w:r w:rsidR="001528D7">
        <w:rPr>
          <w:rFonts w:cstheme="minorBidi"/>
          <w:b/>
          <w:bCs/>
          <w:color w:val="auto"/>
          <w:sz w:val="23"/>
          <w:szCs w:val="23"/>
        </w:rPr>
        <w:t xml:space="preserve">1. </w:t>
      </w:r>
      <w:r w:rsidR="001528D7">
        <w:rPr>
          <w:color w:val="auto"/>
          <w:sz w:val="23"/>
          <w:szCs w:val="23"/>
        </w:rPr>
        <w:t>Wykonawca winni obliczyć cenę oferty z zastosowaniem: szacowanej ilości paliwa gazowego (kWh), liczby miesięcy w okresie zamówienia, wartości mocy umownej i liczby dni w okresie</w:t>
      </w:r>
      <w:r w:rsidR="00CA25A9">
        <w:rPr>
          <w:color w:val="auto"/>
          <w:sz w:val="23"/>
          <w:szCs w:val="23"/>
        </w:rPr>
        <w:t xml:space="preserve"> (dane zawarte w załączniku nr 2</w:t>
      </w:r>
      <w:r w:rsidR="001528D7">
        <w:rPr>
          <w:color w:val="auto"/>
          <w:sz w:val="23"/>
          <w:szCs w:val="23"/>
        </w:rPr>
        <w:t xml:space="preserve"> </w:t>
      </w:r>
      <w:r w:rsidR="00D8069F">
        <w:rPr>
          <w:color w:val="auto"/>
          <w:sz w:val="23"/>
          <w:szCs w:val="23"/>
        </w:rPr>
        <w:t>(</w:t>
      </w:r>
      <w:r w:rsidR="00CA25A9">
        <w:rPr>
          <w:color w:val="auto"/>
          <w:sz w:val="23"/>
          <w:szCs w:val="23"/>
        </w:rPr>
        <w:t xml:space="preserve">zał. 2.1, zał. 2.2, zał. 2.3 do </w:t>
      </w:r>
      <w:r w:rsidR="001528D7">
        <w:rPr>
          <w:color w:val="auto"/>
          <w:sz w:val="23"/>
          <w:szCs w:val="23"/>
        </w:rPr>
        <w:t xml:space="preserve"> SWZ) oraz ceny jednostkowej netto za 1 kWh gazu ziemnego, poszczególnych składników cenowych dla dostawy gazu i usług dystrybucyjnych oraz stawki podatku VAT.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Cenę oferty należy podać w złotych polskich i obliczyć zgodnie z ustawą z dnia 9 maja 2014 r. o informowaniu o cenach towarów i usług, z dokładnością do dwóch miejsc po przecinku, stosując zasadę opisaną w art. 106e ust. 11 ustawy z dnia 11 marca 2004 r. o podatku od towarów i usług.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3. </w:t>
      </w:r>
      <w:r w:rsidR="001528D7">
        <w:rPr>
          <w:color w:val="auto"/>
          <w:sz w:val="23"/>
          <w:szCs w:val="23"/>
        </w:rPr>
        <w:t>W Formularzu ofertowym (załącznik nr 1 do SWZ) wykonawca przedstawi cenę brutto oferty wyliczoną w oparciu o F</w:t>
      </w:r>
      <w:r w:rsidR="00CA25A9">
        <w:rPr>
          <w:color w:val="auto"/>
          <w:sz w:val="23"/>
          <w:szCs w:val="23"/>
        </w:rPr>
        <w:t xml:space="preserve">ormularz cenowy (załącznik nr 2.1, 2.2, 2.3 </w:t>
      </w:r>
      <w:r w:rsidR="001528D7">
        <w:rPr>
          <w:color w:val="auto"/>
          <w:sz w:val="23"/>
          <w:szCs w:val="23"/>
        </w:rPr>
        <w:t xml:space="preserve"> do SWZ).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4. </w:t>
      </w:r>
      <w:r w:rsidR="001528D7">
        <w:rPr>
          <w:color w:val="auto"/>
          <w:sz w:val="23"/>
          <w:szCs w:val="23"/>
        </w:rPr>
        <w:t xml:space="preserve">Ceny jednostkowe netto określone przez wykonawcę w Formularzu cenowym muszą być wyrażone w złotych polskich z dokładnością do nie więcej niż pięć miejsc po przecinku.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5. </w:t>
      </w:r>
      <w:r w:rsidR="001528D7">
        <w:rPr>
          <w:color w:val="auto"/>
          <w:sz w:val="23"/>
          <w:szCs w:val="23"/>
        </w:rPr>
        <w:t xml:space="preserve">Wykonawca oblicza wartość brutto według stawki VAT obowiązującej w dniu składania oferty.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6. </w:t>
      </w:r>
      <w:r w:rsidR="001528D7">
        <w:rPr>
          <w:color w:val="auto"/>
          <w:sz w:val="23"/>
          <w:szCs w:val="23"/>
        </w:rPr>
        <w:t xml:space="preserve">Cena oferty winna obejmować wszystkie zobowiązania, składniki i koszty związane z wykonaniem zamówienia za wyjątkiem ewentualnych opłat za przekroczenie Mocy umownej, opłat z tytułu niedostosowania się przez Zamawiającego do ograniczeń wprowadzonych przez Operatora Systemu Dystrybucyjnego, oraz innych dodatkowych opłat ustalonych w Taryfie Operatora Systemu Dystrybucyjnego, Instrukcji Ruchu i Eksploatacji Sieci Dystrybucyjnej, które obowiązują zarówno wszystkich Wykonawców jak i Zamawiających (sprzedawców i odbiorców), na zasadach wynikających z taryfy Operatora Systemu Dystrybucyjnego, Instrukcji Ruchu i Eksploatacji Sieci Dystrybucyjnej.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7. </w:t>
      </w:r>
      <w:r w:rsidR="001528D7">
        <w:rPr>
          <w:color w:val="auto"/>
          <w:sz w:val="23"/>
          <w:szCs w:val="23"/>
        </w:rPr>
        <w:t xml:space="preserve">W przypadku zwolnienia z podatku VAT Wykonawca zobowiązany jest dołączyć do oferty dokument potwierdzający zwolnienia.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8. </w:t>
      </w:r>
      <w:r w:rsidR="001528D7">
        <w:rPr>
          <w:color w:val="auto"/>
          <w:sz w:val="23"/>
          <w:szCs w:val="23"/>
        </w:rPr>
        <w:t xml:space="preserve">Zgodnie z art. 225 ust. 2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wykonawca, składając ofertę, jest zobowiązany poinformować zamawiającego, czy wybór jego oferty będzie prowadzić do powstania u zamawiającego obowiązku podatkowego zgodnie z ustawą z dnia 11 marca 2004 r. o podatku od towarów i usług. 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9. </w:t>
      </w:r>
      <w:r w:rsidR="001528D7">
        <w:rPr>
          <w:color w:val="auto"/>
          <w:sz w:val="23"/>
          <w:szCs w:val="23"/>
        </w:rPr>
        <w:t>Jeżeli złożono ofertę, której wybór prowadziłby do powstania u zamawiającego obowiązku podatkowego zgodnie z przepisami o podatku, o którym mowa w pkt 8 wykonawca ma obowiązek:</w:t>
      </w:r>
      <w:r w:rsidR="00CA25A9">
        <w:rPr>
          <w:color w:val="auto"/>
          <w:sz w:val="23"/>
          <w:szCs w:val="23"/>
        </w:rPr>
        <w:t xml:space="preserve">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poinformowania zamawiającego, że wybór jego oferty będzie prowadził do powstania u zamawiającego obowiązku podatkowego;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wskazania nazwy (rodzaju) towaru lub usługi, których dostawa lub świadczenie będą prowadziły do powstania obowiązku podatkowego;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3) wskazania wartości towaru lub usługi objętego obowiązkiem podatkowym zamawiającego, bez kwoty podatku;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4) wskazania stawki podatku od towarów i usług, która zgodnie z wiedzą wykonawcy, będzie miała zastosowanie. </w:t>
      </w:r>
      <w:r w:rsidR="006F255F">
        <w:rPr>
          <w:color w:val="auto"/>
          <w:sz w:val="23"/>
          <w:szCs w:val="23"/>
        </w:rPr>
        <w:br/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>XX. OPIS KRYTERIÓW OCENY OFERT, WRAZ Z PODANIEM WAG TYCH KRYTERIÓW, I SPOSOBU OCENY OFERT</w:t>
      </w:r>
      <w:r w:rsidR="006F255F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 1. </w:t>
      </w:r>
      <w:r w:rsidR="001528D7">
        <w:rPr>
          <w:color w:val="auto"/>
          <w:sz w:val="23"/>
          <w:szCs w:val="23"/>
        </w:rPr>
        <w:t xml:space="preserve">Zamawiający wybiera najkorzystniejszą ofertę spośród ważnych ofert złożonych w postępowaniu, na podstawie kryteriów </w:t>
      </w:r>
      <w:r w:rsidR="00C51896">
        <w:rPr>
          <w:color w:val="auto"/>
          <w:sz w:val="23"/>
          <w:szCs w:val="23"/>
        </w:rPr>
        <w:t xml:space="preserve">oceny ofert określonych w SWZ: </w:t>
      </w:r>
      <w:r w:rsidR="005D4E95">
        <w:rPr>
          <w:color w:val="auto"/>
          <w:sz w:val="23"/>
          <w:szCs w:val="23"/>
        </w:rPr>
        <w:br/>
      </w:r>
      <w:r w:rsidR="001528D7">
        <w:rPr>
          <w:rFonts w:cstheme="minorBidi"/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Przy wyborze najkorzystniejszej oferty Zamawiający będzie się kierował następującymi kryteriami oceny ofert oraz ich wagą: </w:t>
      </w:r>
      <w:r w:rsidR="001528D7">
        <w:rPr>
          <w:b/>
          <w:bCs/>
          <w:color w:val="auto"/>
          <w:sz w:val="23"/>
          <w:szCs w:val="23"/>
        </w:rPr>
        <w:t xml:space="preserve">Kryterium Cena (C) 100% </w:t>
      </w:r>
      <w:r w:rsidR="00C51896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3. </w:t>
      </w:r>
      <w:r w:rsidR="001528D7">
        <w:rPr>
          <w:color w:val="auto"/>
          <w:sz w:val="23"/>
          <w:szCs w:val="23"/>
        </w:rPr>
        <w:t>Za ofertę najkorzystniejszą zostanie uznana oferta, która otrzyma największą liczbę punktów C oblicz</w:t>
      </w:r>
      <w:r w:rsidR="00C51896">
        <w:rPr>
          <w:color w:val="auto"/>
          <w:sz w:val="23"/>
          <w:szCs w:val="23"/>
        </w:rPr>
        <w:t>onych wg wzoru opisanego w pkt 1</w:t>
      </w:r>
      <w:r w:rsidR="001528D7">
        <w:rPr>
          <w:color w:val="auto"/>
          <w:sz w:val="23"/>
          <w:szCs w:val="23"/>
        </w:rPr>
        <w:t>.</w:t>
      </w:r>
      <w:r w:rsidR="00C51896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W kryterium liczba przyznanych punktów dla poszczególnych ofert będzie obliczona zgodnie z poniższym wzorem: </w:t>
      </w:r>
      <w:r w:rsidR="001528D7">
        <w:rPr>
          <w:b/>
          <w:bCs/>
          <w:color w:val="auto"/>
          <w:sz w:val="23"/>
          <w:szCs w:val="23"/>
        </w:rPr>
        <w:t>(</w:t>
      </w:r>
      <w:proofErr w:type="spellStart"/>
      <w:r w:rsidR="001528D7">
        <w:rPr>
          <w:b/>
          <w:bCs/>
          <w:color w:val="auto"/>
          <w:sz w:val="23"/>
          <w:szCs w:val="23"/>
        </w:rPr>
        <w:t>Cmin</w:t>
      </w:r>
      <w:proofErr w:type="spellEnd"/>
      <w:r w:rsidR="001528D7">
        <w:rPr>
          <w:b/>
          <w:bCs/>
          <w:color w:val="auto"/>
          <w:sz w:val="23"/>
          <w:szCs w:val="23"/>
        </w:rPr>
        <w:t>/</w:t>
      </w:r>
      <w:proofErr w:type="spellStart"/>
      <w:r w:rsidR="001528D7">
        <w:rPr>
          <w:b/>
          <w:bCs/>
          <w:color w:val="auto"/>
          <w:sz w:val="23"/>
          <w:szCs w:val="23"/>
        </w:rPr>
        <w:t>Cb</w:t>
      </w:r>
      <w:proofErr w:type="spellEnd"/>
      <w:r w:rsidR="001528D7">
        <w:rPr>
          <w:b/>
          <w:bCs/>
          <w:color w:val="auto"/>
          <w:sz w:val="23"/>
          <w:szCs w:val="23"/>
        </w:rPr>
        <w:t xml:space="preserve">) x 100 = liczba punktów badanej oferty(C) </w:t>
      </w:r>
      <w:r w:rsidR="001528D7">
        <w:rPr>
          <w:color w:val="auto"/>
          <w:sz w:val="23"/>
          <w:szCs w:val="23"/>
        </w:rPr>
        <w:t xml:space="preserve">gdzie: </w:t>
      </w:r>
      <w:proofErr w:type="spellStart"/>
      <w:r w:rsidR="001528D7">
        <w:rPr>
          <w:color w:val="auto"/>
          <w:sz w:val="23"/>
          <w:szCs w:val="23"/>
        </w:rPr>
        <w:t>Cmin</w:t>
      </w:r>
      <w:proofErr w:type="spellEnd"/>
      <w:r w:rsidR="001528D7">
        <w:rPr>
          <w:color w:val="auto"/>
          <w:sz w:val="23"/>
          <w:szCs w:val="23"/>
        </w:rPr>
        <w:t xml:space="preserve"> – najniższa cena spośród ofert nieodrzucon</w:t>
      </w:r>
      <w:r w:rsidR="00C51896">
        <w:rPr>
          <w:color w:val="auto"/>
          <w:sz w:val="23"/>
          <w:szCs w:val="23"/>
        </w:rPr>
        <w:t xml:space="preserve">ych; </w:t>
      </w:r>
      <w:proofErr w:type="spellStart"/>
      <w:r w:rsidR="00C51896">
        <w:rPr>
          <w:color w:val="auto"/>
          <w:sz w:val="23"/>
          <w:szCs w:val="23"/>
        </w:rPr>
        <w:t>Cb</w:t>
      </w:r>
      <w:proofErr w:type="spellEnd"/>
      <w:r w:rsidR="00C51896">
        <w:rPr>
          <w:color w:val="auto"/>
          <w:sz w:val="23"/>
          <w:szCs w:val="23"/>
        </w:rPr>
        <w:t xml:space="preserve"> – cena oferty badanej; </w:t>
      </w:r>
      <w:r w:rsidR="00C51896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>2) Maksymalnie wykonawca może uzyskać 1</w:t>
      </w:r>
      <w:r w:rsidR="00C51896">
        <w:rPr>
          <w:color w:val="auto"/>
          <w:sz w:val="23"/>
          <w:szCs w:val="23"/>
        </w:rPr>
        <w:t xml:space="preserve">00 pkt w niniejszym kryterium. </w:t>
      </w:r>
      <w:r w:rsidR="00C51896">
        <w:rPr>
          <w:color w:val="auto"/>
          <w:sz w:val="23"/>
          <w:szCs w:val="23"/>
        </w:rPr>
        <w:br/>
      </w:r>
      <w:r w:rsidR="00C51896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XXI. INFORMACJE O FORMALNOŚCIACH, JAKIE MUSZĄ ZOSTAĆ DOPEŁNIONE PO WYBORZE OFERTY W CELU ZAWARCIA UMOWY W SPRAWIE ZAMÓWIENIA PUBLICZNEGO </w:t>
      </w:r>
      <w:r w:rsidR="00C51896">
        <w:rPr>
          <w:color w:val="auto"/>
          <w:sz w:val="23"/>
          <w:szCs w:val="23"/>
        </w:rPr>
        <w:br/>
      </w:r>
      <w:r w:rsidR="00C51896">
        <w:rPr>
          <w:b/>
          <w:bCs/>
          <w:color w:val="auto"/>
          <w:sz w:val="23"/>
          <w:szCs w:val="23"/>
        </w:rPr>
        <w:t>1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 xml:space="preserve">Umowa w sprawie zamówienia publicznego zostanie zawarta z wykonawcą, który przedłoży </w:t>
      </w:r>
      <w:r w:rsidR="001528D7">
        <w:rPr>
          <w:color w:val="auto"/>
          <w:sz w:val="23"/>
          <w:szCs w:val="23"/>
        </w:rPr>
        <w:lastRenderedPageBreak/>
        <w:t xml:space="preserve">najkorzystniejszą ofertę z punktu widzenia kryteriów przyjętych w SWZ, z uwzględnieniem postanowień wynikających z treści SWZ oraz danych </w:t>
      </w:r>
      <w:r w:rsidR="00C51896">
        <w:rPr>
          <w:color w:val="auto"/>
          <w:sz w:val="23"/>
          <w:szCs w:val="23"/>
        </w:rPr>
        <w:t xml:space="preserve">zawartych w ofercie wykonawcy. </w:t>
      </w:r>
      <w:r w:rsidR="00C51896">
        <w:rPr>
          <w:color w:val="auto"/>
          <w:sz w:val="23"/>
          <w:szCs w:val="23"/>
        </w:rPr>
        <w:br/>
      </w:r>
      <w:r w:rsidR="00C51896">
        <w:rPr>
          <w:b/>
          <w:bCs/>
          <w:color w:val="auto"/>
          <w:sz w:val="23"/>
          <w:szCs w:val="23"/>
        </w:rPr>
        <w:t>2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>Umowa zostanie zawarta w terminie określonym</w:t>
      </w:r>
      <w:r w:rsidR="00C51896">
        <w:rPr>
          <w:color w:val="auto"/>
          <w:sz w:val="23"/>
          <w:szCs w:val="23"/>
        </w:rPr>
        <w:t xml:space="preserve"> w art. 308 ust. 2 oraz art. 308 ust. 3 ustawy </w:t>
      </w:r>
      <w:proofErr w:type="spellStart"/>
      <w:r w:rsidR="00C51896">
        <w:rPr>
          <w:color w:val="auto"/>
          <w:sz w:val="23"/>
          <w:szCs w:val="23"/>
        </w:rPr>
        <w:t>Pzp</w:t>
      </w:r>
      <w:proofErr w:type="spellEnd"/>
      <w:r w:rsidR="00C51896">
        <w:rPr>
          <w:color w:val="auto"/>
          <w:sz w:val="23"/>
          <w:szCs w:val="23"/>
        </w:rPr>
        <w:t xml:space="preserve">. </w:t>
      </w:r>
      <w:r w:rsidR="00C51896">
        <w:rPr>
          <w:color w:val="auto"/>
          <w:sz w:val="23"/>
          <w:szCs w:val="23"/>
        </w:rPr>
        <w:br/>
      </w:r>
      <w:r w:rsidR="00C51896">
        <w:rPr>
          <w:b/>
          <w:bCs/>
          <w:color w:val="auto"/>
          <w:sz w:val="23"/>
          <w:szCs w:val="23"/>
        </w:rPr>
        <w:t>3</w:t>
      </w:r>
      <w:r w:rsidR="001528D7">
        <w:rPr>
          <w:b/>
          <w:bCs/>
          <w:color w:val="auto"/>
          <w:sz w:val="23"/>
          <w:szCs w:val="23"/>
        </w:rPr>
        <w:t xml:space="preserve">. </w:t>
      </w:r>
      <w:r w:rsidR="001528D7">
        <w:rPr>
          <w:color w:val="auto"/>
          <w:sz w:val="23"/>
          <w:szCs w:val="23"/>
        </w:rPr>
        <w:t>W przypadku oferty złożonej przez wykonawców wspólnie ubiegających się o udzielenie zamówienia, zamawiający zastrzega sobie prawo żądania, przed podpisaniem umowy w sprawie udzielenia zamówienia publicznego, umowy regulując</w:t>
      </w:r>
      <w:r w:rsidR="00C51896">
        <w:rPr>
          <w:color w:val="auto"/>
          <w:sz w:val="23"/>
          <w:szCs w:val="23"/>
        </w:rPr>
        <w:t xml:space="preserve">ej współpracę tych wykonawców. </w:t>
      </w:r>
      <w:r w:rsidR="00C51896">
        <w:rPr>
          <w:color w:val="auto"/>
          <w:sz w:val="23"/>
          <w:szCs w:val="23"/>
        </w:rPr>
        <w:br/>
      </w:r>
      <w:r w:rsidR="00C51896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>XXII. WYMAGANIA DOTYCZĄCE ZABEZPIECZ</w:t>
      </w:r>
      <w:r w:rsidR="00C51896">
        <w:rPr>
          <w:b/>
          <w:bCs/>
          <w:color w:val="auto"/>
          <w:sz w:val="23"/>
          <w:szCs w:val="23"/>
        </w:rPr>
        <w:t>ENIA NALEŻYTEGO WYKONANIA UMOWY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Zamawiający nie wymaga wniesienia zabezpieczenia należytego wykonania umowy. </w:t>
      </w:r>
      <w:r w:rsidR="00C51896">
        <w:rPr>
          <w:b/>
          <w:bCs/>
          <w:color w:val="auto"/>
          <w:sz w:val="23"/>
          <w:szCs w:val="23"/>
        </w:rPr>
        <w:br/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XXIII. POUCZENIE O ŚRODKACH OCHRONY PRAWNEJ PRZYSŁUGUJĄCYCH WYKONAWCY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1. </w:t>
      </w:r>
      <w:r w:rsidR="001528D7">
        <w:rPr>
          <w:color w:val="auto"/>
          <w:sz w:val="23"/>
          <w:szCs w:val="23"/>
        </w:rPr>
        <w:t xml:space="preserve">Wykonawcom oraz innym podmiotom, które mają lub miały interes w uzyskaniu zamówienia oraz poniosły lub mogą ponieść szkodę w wyniku naruszenia przez zamawiającego przepisów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, przysługują środki ochrony prawnej określone w Dziale IX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Środki ochrony prawnej wobec ogłoszenia wszczętego postępowania o udzielenie zamówienia oraz dokumentów zamówienia przysługują również organizacjom wpisanym na listę, o której mowa w art. 469 pkt 15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oraz Rzecznikowi Małych i Średnich Przedsiębiorców.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3. </w:t>
      </w:r>
      <w:r w:rsidR="001528D7">
        <w:rPr>
          <w:color w:val="auto"/>
          <w:sz w:val="23"/>
          <w:szCs w:val="23"/>
        </w:rPr>
        <w:t xml:space="preserve">Odwołanie przysługuje na: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niezgodną z przepisami ustawy czynność zamawiającego, podjętą w postępowaniu o udzielenie za-mówienia, o zawarcie umowy ramowej, dynamicznym systemie zakupów, systemie kwalifikowania wykonawców, w tym na projektowane postanowienie umowy;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zaniechanie czynności w postępowaniu o udzielenie zamówienia, o zawarcie umowy ramowej, dynamicznym systemie zakupów, systemie kwalifikowania wykonawców, do której zamawiający był obowiązany na podstawie ustawy; </w:t>
      </w:r>
      <w:r w:rsidR="00C51896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</w:t>
      </w:r>
      <w:r w:rsidR="001528D7">
        <w:rPr>
          <w:color w:val="auto"/>
          <w:sz w:val="23"/>
          <w:szCs w:val="23"/>
        </w:rPr>
        <w:t xml:space="preserve">3) zaniechanie przeprowadzenia postępowania o udzielenie zamówienia na podstawie ustawy, mimo że zamawiający był do tego obowiązany.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4. </w:t>
      </w:r>
      <w:r w:rsidR="001528D7">
        <w:rPr>
          <w:color w:val="auto"/>
          <w:sz w:val="23"/>
          <w:szCs w:val="23"/>
        </w:rPr>
        <w:t xml:space="preserve">Odwołanie wnosi się do Prezesa Izby.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5. </w:t>
      </w:r>
      <w:r w:rsidR="001528D7">
        <w:rPr>
          <w:color w:val="auto"/>
          <w:sz w:val="23"/>
          <w:szCs w:val="23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6. </w:t>
      </w:r>
      <w:r w:rsidR="001528D7">
        <w:rPr>
          <w:color w:val="auto"/>
          <w:sz w:val="23"/>
          <w:szCs w:val="23"/>
        </w:rPr>
        <w:t xml:space="preserve">Odwołanie wnosi się w terminie 5 dni od dnia przesłania informacji o czynności zamawiającego stanowiącej podstawę jego wniesienia - jeżeli informacja została przesłana przy użyciu środków komunikacji elektronicznej.. </w:t>
      </w:r>
      <w:r w:rsidR="00C51896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7. </w:t>
      </w:r>
      <w:r w:rsidR="001528D7">
        <w:rPr>
          <w:color w:val="auto"/>
          <w:sz w:val="23"/>
          <w:szCs w:val="23"/>
        </w:rPr>
        <w:t xml:space="preserve">Odwołanie wobec treści ogłoszenia wszczętego postepowania o udzielenie zamówienia lub treści dokumentów zamówienia, wnosi się w terminie 5 dni zamieszczenia ogłoszenia w Biuletynie Zamówień Publicznych lub dokumentów za-mówienia na stronie internetowej. </w:t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8. </w:t>
      </w:r>
      <w:r w:rsidR="001528D7">
        <w:rPr>
          <w:color w:val="auto"/>
          <w:sz w:val="23"/>
          <w:szCs w:val="23"/>
        </w:rPr>
        <w:t xml:space="preserve">Odwołanie wobec czynności innych niż określone w pkt 6 i 7 wnosi się w terminie 5 dnia od dnia, w którym powzięto lub przy zachowaniu należytej staranności można było powziąć wiadomość o okolicznościach stanowiących podstawę jego wniesienia. </w:t>
      </w:r>
      <w:r w:rsidR="007158B5">
        <w:rPr>
          <w:b/>
          <w:bCs/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XXIV. OFERTY CZĘŚCIOWE </w:t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Zamawiający nie dopuszcza składania ofert częściowych. </w:t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Uzasadnienie: W związku, z tym iż przedmiotowe zamówienie nie przekracza progów unijnych, a zakres i wielkość przewidzianych do wykonania dostaw nie wymaga dzielenia, a warunki udziału w postępowaniu nie powodują ograniczenia konkurencji oraz zapewniają równy dostęp podmiotów z sektora małych i średnich przedsiębiorstw. </w:t>
      </w:r>
      <w:r w:rsidR="007158B5">
        <w:rPr>
          <w:b/>
          <w:bCs/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XXV. OFERTY WARIANTOWE </w:t>
      </w:r>
      <w:r w:rsidR="007158B5">
        <w:rPr>
          <w:b/>
          <w:bCs/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Zamawiający nie dopuszcza możliwości składania ofert wariantowych. </w:t>
      </w:r>
      <w:r w:rsidR="007158B5">
        <w:rPr>
          <w:b/>
          <w:bCs/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br/>
      </w:r>
    </w:p>
    <w:p w:rsidR="00BC1697" w:rsidRDefault="001528D7" w:rsidP="003A05E2">
      <w:pPr>
        <w:pStyle w:val="Default"/>
        <w:tabs>
          <w:tab w:val="left" w:pos="3750"/>
        </w:tabs>
        <w:spacing w:after="13229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XXVI. WYMAGANIA W ZAKRESIE ZATRUDNIENIA OSÓB, O KTÓRYCH MOWA W ART. 96 UST. 2 PKT 2 </w:t>
      </w:r>
      <w:r w:rsidR="007158B5">
        <w:rPr>
          <w:b/>
          <w:bCs/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przewiduje takiego wymagania. </w:t>
      </w:r>
      <w:r w:rsidR="007158B5">
        <w:rPr>
          <w:b/>
          <w:bCs/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XXVII. INFORMACJĘ O ZASTRZEŻENIU MOŻLIWOŚCI UBIEGANIA SIĘ O UDZIELENIE ZAMÓWIENIA WYŁĄCZNIE PRZEZ WYKONAWCÓW, O KTÓRYCH MOWA W ART. 94 </w:t>
      </w:r>
      <w:r w:rsidR="007158B5">
        <w:rPr>
          <w:b/>
          <w:bCs/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przewiduje takiego wymagania. </w:t>
      </w:r>
      <w:r w:rsidR="007158B5">
        <w:rPr>
          <w:b/>
          <w:bCs/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br/>
        <w:t>XXVIII</w:t>
      </w:r>
      <w:r>
        <w:rPr>
          <w:b/>
          <w:bCs/>
          <w:color w:val="auto"/>
          <w:sz w:val="23"/>
          <w:szCs w:val="23"/>
        </w:rPr>
        <w:t>. INFORMACJE DOTYCZĄCE PRZEPROWADZENIA PRZEZ WYKONAWCĘ WIZJI LOKALNEJ LUB SPRAWDZENIA PRZEZ NIEGO DOKUMENTÓW NIEZBĘDNYCH DO REALIZACJI ZAMÓWIENIA, O KTÓRYCH MOWA W ART. 131 UST. 2</w:t>
      </w:r>
      <w:r w:rsidR="007158B5">
        <w:rPr>
          <w:b/>
          <w:bCs/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Zamawiający nie przewiduje możliwość ani nie wymaga złożenia oferty po odbyciu wizji lokalnej lu</w:t>
      </w:r>
      <w:r w:rsidR="007158B5">
        <w:rPr>
          <w:color w:val="auto"/>
          <w:sz w:val="23"/>
          <w:szCs w:val="23"/>
        </w:rPr>
        <w:t>b sprawdzeniu tych dokumentów.</w:t>
      </w:r>
      <w:r w:rsidR="007158B5">
        <w:rPr>
          <w:color w:val="auto"/>
          <w:sz w:val="23"/>
          <w:szCs w:val="23"/>
        </w:rPr>
        <w:br/>
        <w:t xml:space="preserve"> </w:t>
      </w:r>
      <w:r w:rsidR="007158B5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>XX</w:t>
      </w:r>
      <w:r w:rsidR="007158B5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 xml:space="preserve">X. INFORMACJE O WALUTACH OBCYCH </w:t>
      </w:r>
      <w:r w:rsidR="007158B5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dopuszcza możliwości prowadzenia rozliczeń w walutach obcych. </w:t>
      </w:r>
      <w:r w:rsidR="007158B5">
        <w:rPr>
          <w:color w:val="auto"/>
          <w:sz w:val="23"/>
          <w:szCs w:val="23"/>
        </w:rPr>
        <w:br/>
      </w:r>
      <w:r w:rsidR="007158B5">
        <w:rPr>
          <w:color w:val="auto"/>
          <w:sz w:val="23"/>
          <w:szCs w:val="23"/>
        </w:rPr>
        <w:br/>
      </w:r>
      <w:r w:rsidR="007158B5">
        <w:rPr>
          <w:rFonts w:cstheme="minorBidi"/>
          <w:b/>
          <w:bCs/>
          <w:color w:val="auto"/>
          <w:sz w:val="23"/>
          <w:szCs w:val="23"/>
        </w:rPr>
        <w:t>XXX</w:t>
      </w:r>
      <w:r>
        <w:rPr>
          <w:rFonts w:cstheme="minorBidi"/>
          <w:b/>
          <w:bCs/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ZWROT KOSZTÓW </w:t>
      </w:r>
      <w:r w:rsidR="007158B5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przewiduje zwrotu kosztów udziału w postępowaniu z zastrzeżeniem wyjątków określonych w ustawie Prawo zamówień publicznych. </w:t>
      </w:r>
      <w:r w:rsidR="008336BE">
        <w:rPr>
          <w:color w:val="auto"/>
          <w:sz w:val="23"/>
          <w:szCs w:val="23"/>
        </w:rPr>
        <w:br/>
      </w:r>
      <w:r w:rsidR="008336BE">
        <w:rPr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t>XXXI</w:t>
      </w:r>
      <w:r>
        <w:rPr>
          <w:b/>
          <w:bCs/>
          <w:color w:val="auto"/>
          <w:sz w:val="23"/>
          <w:szCs w:val="23"/>
        </w:rPr>
        <w:t xml:space="preserve">. INFORMACJA O KLUCZOWYCH CZĘŚCIACH ZAMÓWIENIA </w:t>
      </w:r>
      <w:r w:rsidR="008336BE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1. Zamawiający nie zastrzega wykonania kluczowych części zamówienia przez wykonawcę. 2. Wykonawca może powierzyć realizację części przedmiotu zamówienia podwykonawcom. 3. </w:t>
      </w:r>
      <w:r>
        <w:rPr>
          <w:color w:val="auto"/>
          <w:sz w:val="23"/>
          <w:szCs w:val="23"/>
        </w:rPr>
        <w:t xml:space="preserve">Wykonawca, który zamierza wykonywać zamówienie przy udziale podwykonawcy, musi wyraźnie w ofercie wskazać, jaką część (zakres zamówienia) wykonywać będzie w jego imieniu podwykonawca oraz podać firmę podwykonawcy. Należy w tym celu wypełnić odpowiedni punkt formularza oferty, stanowiącego załącznik nr 1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  <w:r w:rsidR="008336BE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4. </w:t>
      </w:r>
      <w:r>
        <w:rPr>
          <w:color w:val="auto"/>
          <w:sz w:val="23"/>
          <w:szCs w:val="23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color w:val="auto"/>
          <w:sz w:val="23"/>
          <w:szCs w:val="23"/>
        </w:rPr>
        <w:t>Pzp</w:t>
      </w:r>
      <w:proofErr w:type="spellEnd"/>
      <w:r>
        <w:rPr>
          <w:color w:val="auto"/>
          <w:sz w:val="23"/>
          <w:szCs w:val="23"/>
        </w:rPr>
        <w:t xml:space="preserve">,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  <w:r w:rsidR="008336BE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5. </w:t>
      </w:r>
      <w:r>
        <w:rPr>
          <w:color w:val="auto"/>
          <w:sz w:val="23"/>
          <w:szCs w:val="23"/>
        </w:rPr>
        <w:t xml:space="preserve">Powierzenie wykonania części zamówienia podwykonawcom nie zwalnia wykonawcy z odpowiedzialności za należyte wykonanie tego zamówienia. </w:t>
      </w:r>
      <w:r w:rsidR="008336BE">
        <w:rPr>
          <w:color w:val="auto"/>
          <w:sz w:val="23"/>
          <w:szCs w:val="23"/>
        </w:rPr>
        <w:br/>
      </w:r>
      <w:r w:rsidR="008336BE">
        <w:rPr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t>XXXII</w:t>
      </w:r>
      <w:r>
        <w:rPr>
          <w:b/>
          <w:bCs/>
          <w:color w:val="auto"/>
          <w:sz w:val="23"/>
          <w:szCs w:val="23"/>
        </w:rPr>
        <w:t xml:space="preserve">. UMOWA RAMOWA </w:t>
      </w:r>
      <w:r w:rsidR="008336BE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przewiduje zawarcia umowy ramowej. </w:t>
      </w:r>
      <w:r w:rsidR="008336BE">
        <w:rPr>
          <w:color w:val="auto"/>
          <w:sz w:val="23"/>
          <w:szCs w:val="23"/>
        </w:rPr>
        <w:br/>
      </w:r>
      <w:r w:rsidR="008336BE">
        <w:rPr>
          <w:color w:val="auto"/>
          <w:sz w:val="23"/>
          <w:szCs w:val="23"/>
        </w:rPr>
        <w:br/>
      </w:r>
      <w:r w:rsidR="007158B5">
        <w:rPr>
          <w:b/>
          <w:bCs/>
          <w:color w:val="auto"/>
          <w:sz w:val="23"/>
          <w:szCs w:val="23"/>
        </w:rPr>
        <w:t>XXXIII</w:t>
      </w:r>
      <w:r>
        <w:rPr>
          <w:b/>
          <w:bCs/>
          <w:color w:val="auto"/>
          <w:sz w:val="23"/>
          <w:szCs w:val="23"/>
        </w:rPr>
        <w:t xml:space="preserve">. AUKCJA ELEKTRONICZA </w:t>
      </w:r>
      <w:r w:rsidR="008336BE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Zamawiający nie przewiduje wyboru oferty najkorzystniejszej z zastosowaniem aukcji elektronicznej. </w:t>
      </w:r>
      <w:r w:rsidR="008336BE">
        <w:rPr>
          <w:color w:val="auto"/>
          <w:sz w:val="23"/>
          <w:szCs w:val="23"/>
        </w:rPr>
        <w:br/>
      </w:r>
      <w:r w:rsidR="008336BE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>XXX</w:t>
      </w:r>
      <w:r w:rsidR="007158B5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 xml:space="preserve">V. INFORMACJA DOTYCZĄCA KATALOGÓW ELEKTRONICZNYCH </w:t>
      </w:r>
      <w:r>
        <w:rPr>
          <w:color w:val="auto"/>
          <w:sz w:val="23"/>
          <w:szCs w:val="23"/>
        </w:rPr>
        <w:t xml:space="preserve">Zamawiający nie przewiduje możliwości złożenia oferty w postaci katalogów elektronicznych. </w:t>
      </w:r>
      <w:r w:rsidR="008336BE">
        <w:rPr>
          <w:color w:val="auto"/>
          <w:sz w:val="23"/>
          <w:szCs w:val="23"/>
        </w:rPr>
        <w:br/>
      </w:r>
      <w:r w:rsidR="008336BE">
        <w:rPr>
          <w:color w:val="auto"/>
          <w:sz w:val="23"/>
          <w:szCs w:val="23"/>
        </w:rPr>
        <w:br/>
      </w:r>
    </w:p>
    <w:p w:rsidR="00A435EE" w:rsidRDefault="007158B5" w:rsidP="003A05E2">
      <w:pPr>
        <w:pStyle w:val="Default"/>
        <w:tabs>
          <w:tab w:val="left" w:pos="3750"/>
        </w:tabs>
        <w:spacing w:after="13229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XXXV</w:t>
      </w:r>
      <w:r w:rsidR="001528D7">
        <w:rPr>
          <w:b/>
          <w:bCs/>
          <w:color w:val="auto"/>
          <w:sz w:val="23"/>
          <w:szCs w:val="23"/>
        </w:rPr>
        <w:t xml:space="preserve">. KLAUZULA INFORMACYJNA RODO DLA WSZYSTKICH WYKONAWCÓW UCZESTNICZĄCYCH W POSTĘPOWANIU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1. Klauzula informacyjna dotycząca przetwarzania danych osobowych: </w:t>
      </w:r>
      <w:r w:rsidR="008336BE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  <w:r w:rsidR="00A650D0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2) Administratorem Pani/Pana danych osobowych jest </w:t>
      </w:r>
      <w:r>
        <w:rPr>
          <w:color w:val="auto"/>
          <w:sz w:val="23"/>
          <w:szCs w:val="23"/>
        </w:rPr>
        <w:t>Pozaszkolna  Placówka Oświatowa Ośrodek Rehabilitacyjno-Wypoczynkowy „Syrena”</w:t>
      </w:r>
      <w:r w:rsidR="00545388">
        <w:rPr>
          <w:color w:val="auto"/>
          <w:sz w:val="23"/>
          <w:szCs w:val="23"/>
        </w:rPr>
        <w:t xml:space="preserve"> w Mielnie ul. Piastów 10, 76-032 Mielno </w:t>
      </w:r>
      <w:r w:rsidR="00A650D0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3) Kontakt z Inspektorem Ochrony Danych możliwy jest pod adresem email: </w:t>
      </w:r>
      <w:r w:rsidR="00545388">
        <w:rPr>
          <w:color w:val="auto"/>
          <w:sz w:val="23"/>
          <w:szCs w:val="23"/>
        </w:rPr>
        <w:br/>
      </w:r>
      <w:r w:rsidR="00545388" w:rsidRPr="005914D5">
        <w:rPr>
          <w:color w:val="auto"/>
          <w:sz w:val="23"/>
          <w:szCs w:val="23"/>
        </w:rPr>
        <w:t>tzawadzki@syrena-mielno.pl</w:t>
      </w:r>
      <w:r w:rsidR="001528D7" w:rsidRPr="005914D5">
        <w:rPr>
          <w:color w:val="auto"/>
          <w:sz w:val="23"/>
          <w:szCs w:val="23"/>
        </w:rPr>
        <w:t xml:space="preserve">; </w:t>
      </w:r>
      <w:r w:rsidR="00A650D0">
        <w:rPr>
          <w:color w:val="auto"/>
          <w:sz w:val="23"/>
          <w:szCs w:val="23"/>
        </w:rPr>
        <w:br/>
      </w:r>
      <w:r w:rsidR="001528D7">
        <w:rPr>
          <w:sz w:val="23"/>
          <w:szCs w:val="23"/>
        </w:rPr>
        <w:t>4) Pani/Pana dane osobowe przetwarzane będą na podstawie art. 6 ust. 1 lit. c RODO w celu związanym z przedmiotowym postępowaniem o udzielenie zamówienia publicznego oraz zawarcia umowy, podstawą prawną ich przet</w:t>
      </w:r>
      <w:r w:rsidR="00545388">
        <w:rPr>
          <w:sz w:val="23"/>
          <w:szCs w:val="23"/>
        </w:rPr>
        <w:t xml:space="preserve">warzania jest obowiązek prawny </w:t>
      </w:r>
      <w:r w:rsidR="001528D7">
        <w:rPr>
          <w:color w:val="auto"/>
          <w:sz w:val="23"/>
          <w:szCs w:val="23"/>
        </w:rPr>
        <w:t xml:space="preserve">stosowania sformalizowanych procedur udzielania zamówień publicznych </w:t>
      </w:r>
      <w:r w:rsidR="004F621B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5) Obowiązek podania przez Panią/Pana danych osobowych bezpośrednio Pani/Pana dotyczących jest wymogiem ustawowym określonym w przepisach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, związanym z udziałem w postępowaniu o udzielenie zamówienia publicznego; konsekwencje niepodania określonych danych wynikają z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6) Odbiorcami Pani/Pana danych osobowych będą osoby lub podmioty, którym udostępniona zostanie dokumentacja postępowania w oparciu o art. 18 oraz art. 74 ust. 1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; </w:t>
      </w:r>
      <w:r w:rsidR="006F255F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7) Pani/Pana dane osobowe będą przechowywane, zgodnie z art. 78 ustawy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, przez okres 4 lat od dnia zakończenia postępowania o udzielenie zamówienia, a w przypadku zawarcia z Panią/Panem umowy w sprawie zamówienia publicznego przez okres 10 lat zgodnie z Rozporządzeniem Prezesa Rady Ministrów z dnia 18 stycznia 2011 r. w sprawie instrukcji kancelaryjnej, jednolitych rzeczowych wykazów akt oraz instrukcji w sprawie organizacji i zakresu działania archiwów zakładowych (Dz.U. z 2011 r. nr 14 poz. 67); </w:t>
      </w:r>
      <w:r w:rsidR="003A05E2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8) Posiada Pani/Pan: − na podstawie art. 15 RODO prawo dostępu do danych osobowych Pani/Pana dotyczących; 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="001528D7">
        <w:rPr>
          <w:color w:val="auto"/>
          <w:sz w:val="23"/>
          <w:szCs w:val="23"/>
        </w:rPr>
        <w:t>Pzp</w:t>
      </w:r>
      <w:proofErr w:type="spellEnd"/>
      <w:r w:rsidR="001528D7">
        <w:rPr>
          <w:color w:val="auto"/>
          <w:sz w:val="23"/>
          <w:szCs w:val="23"/>
        </w:rPr>
        <w:t xml:space="preserve"> oraz nie może naruszać integralności protokołu oraz jego załączników); 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praw); − prawo do wniesienia skargi do Prezesa Urzędu Ochrony Danych Osobowych, gdy uzna Pani/Pan, że przetwarzanie danych osobowych Pani/Pana dotyczących narusza przepisy RODO; </w:t>
      </w:r>
      <w:r w:rsidR="003A05E2">
        <w:rPr>
          <w:color w:val="auto"/>
          <w:sz w:val="23"/>
          <w:szCs w:val="23"/>
        </w:rPr>
        <w:br/>
      </w:r>
      <w:r w:rsidR="001528D7">
        <w:rPr>
          <w:color w:val="auto"/>
          <w:sz w:val="23"/>
          <w:szCs w:val="23"/>
        </w:rPr>
        <w:t xml:space="preserve">9)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 w:rsidR="003A05E2">
        <w:rPr>
          <w:color w:val="auto"/>
          <w:sz w:val="23"/>
          <w:szCs w:val="23"/>
        </w:rPr>
        <w:br/>
      </w:r>
      <w:r w:rsidR="001528D7">
        <w:rPr>
          <w:b/>
          <w:bCs/>
          <w:color w:val="auto"/>
          <w:sz w:val="23"/>
          <w:szCs w:val="23"/>
        </w:rPr>
        <w:t xml:space="preserve">2. </w:t>
      </w:r>
      <w:r w:rsidR="001528D7">
        <w:rPr>
          <w:color w:val="auto"/>
          <w:sz w:val="23"/>
          <w:szCs w:val="23"/>
        </w:rPr>
        <w:t xml:space="preserve">Wykonawca jest zobowiązany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="001528D7">
        <w:rPr>
          <w:color w:val="auto"/>
          <w:sz w:val="23"/>
          <w:szCs w:val="23"/>
        </w:rPr>
        <w:t>wyłączeń</w:t>
      </w:r>
      <w:proofErr w:type="spellEnd"/>
      <w:r w:rsidR="001528D7">
        <w:rPr>
          <w:color w:val="auto"/>
          <w:sz w:val="23"/>
          <w:szCs w:val="23"/>
        </w:rPr>
        <w:t xml:space="preserve">, o których mowa w art. 14 ust. 5 RODO. </w:t>
      </w:r>
      <w:r w:rsidR="003A05E2">
        <w:rPr>
          <w:color w:val="auto"/>
          <w:sz w:val="23"/>
          <w:szCs w:val="23"/>
        </w:rPr>
        <w:br/>
      </w:r>
      <w:r w:rsidR="003A05E2">
        <w:rPr>
          <w:color w:val="auto"/>
          <w:sz w:val="23"/>
          <w:szCs w:val="23"/>
        </w:rPr>
        <w:br/>
      </w:r>
      <w:r w:rsidR="00545388">
        <w:rPr>
          <w:b/>
          <w:bCs/>
          <w:color w:val="auto"/>
          <w:sz w:val="23"/>
          <w:szCs w:val="23"/>
        </w:rPr>
        <w:t>XXXVI</w:t>
      </w:r>
      <w:r w:rsidR="001528D7">
        <w:rPr>
          <w:b/>
          <w:bCs/>
          <w:color w:val="auto"/>
          <w:sz w:val="23"/>
          <w:szCs w:val="23"/>
        </w:rPr>
        <w:t xml:space="preserve">. WYKAZ ZAŁĄCZNIKÓW DO SPECYFIKACJI WARUNKÓW ZAMÓWIENIA </w:t>
      </w:r>
      <w:r w:rsidR="00231F8B">
        <w:rPr>
          <w:b/>
          <w:bCs/>
          <w:color w:val="auto"/>
          <w:sz w:val="23"/>
          <w:szCs w:val="23"/>
        </w:rPr>
        <w:br/>
      </w:r>
      <w:r w:rsidR="003A05E2">
        <w:rPr>
          <w:b/>
          <w:bCs/>
          <w:color w:val="auto"/>
          <w:sz w:val="23"/>
          <w:szCs w:val="23"/>
        </w:rPr>
        <w:br/>
      </w:r>
      <w:r w:rsidR="004E2B2C" w:rsidRPr="00B12D44">
        <w:rPr>
          <w:b/>
          <w:sz w:val="23"/>
          <w:szCs w:val="23"/>
        </w:rPr>
        <w:t>Załącznik nr 1.</w:t>
      </w:r>
      <w:r w:rsidR="004E2B2C" w:rsidRPr="00B12D44">
        <w:rPr>
          <w:sz w:val="23"/>
          <w:szCs w:val="23"/>
        </w:rPr>
        <w:t xml:space="preserve"> Formularz ofertowy </w:t>
      </w:r>
      <w:r w:rsidR="003A05E2">
        <w:rPr>
          <w:sz w:val="23"/>
          <w:szCs w:val="23"/>
        </w:rPr>
        <w:br/>
      </w:r>
      <w:r w:rsidR="004E2B2C" w:rsidRPr="00B12D44">
        <w:rPr>
          <w:b/>
          <w:sz w:val="23"/>
          <w:szCs w:val="23"/>
        </w:rPr>
        <w:t>Załącznik nr 2</w:t>
      </w:r>
      <w:r w:rsidR="003A05E2">
        <w:rPr>
          <w:b/>
          <w:sz w:val="23"/>
          <w:szCs w:val="23"/>
        </w:rPr>
        <w:t>.</w:t>
      </w:r>
      <w:r w:rsidR="00B12D44">
        <w:rPr>
          <w:sz w:val="23"/>
          <w:szCs w:val="23"/>
        </w:rPr>
        <w:t xml:space="preserve">  </w:t>
      </w:r>
      <w:r w:rsidR="003A05E2">
        <w:rPr>
          <w:sz w:val="23"/>
          <w:szCs w:val="23"/>
        </w:rPr>
        <w:t xml:space="preserve"> Formularz cenowy</w:t>
      </w:r>
      <w:r w:rsidR="003A05E2">
        <w:rPr>
          <w:sz w:val="23"/>
          <w:szCs w:val="23"/>
        </w:rPr>
        <w:br/>
      </w:r>
      <w:r w:rsidR="004E2B2C" w:rsidRPr="00B12D44">
        <w:rPr>
          <w:sz w:val="23"/>
          <w:szCs w:val="23"/>
        </w:rPr>
        <w:t xml:space="preserve"> </w:t>
      </w:r>
      <w:r w:rsidR="00B12D44">
        <w:rPr>
          <w:sz w:val="23"/>
          <w:szCs w:val="23"/>
        </w:rPr>
        <w:t xml:space="preserve"> </w:t>
      </w:r>
      <w:r w:rsidR="004E2B2C" w:rsidRPr="00B12D44">
        <w:rPr>
          <w:sz w:val="23"/>
          <w:szCs w:val="23"/>
        </w:rPr>
        <w:t xml:space="preserve">Zał. 2.1 Zapotrzebowanie Główny punkt poboru </w:t>
      </w:r>
      <w:r w:rsidR="005914D5">
        <w:rPr>
          <w:sz w:val="23"/>
          <w:szCs w:val="23"/>
        </w:rPr>
        <w:t>A</w:t>
      </w:r>
      <w:r w:rsidR="003A05E2">
        <w:rPr>
          <w:sz w:val="23"/>
          <w:szCs w:val="23"/>
        </w:rPr>
        <w:br/>
        <w:t xml:space="preserve"> </w:t>
      </w:r>
      <w:r w:rsidR="004E2B2C" w:rsidRPr="00B12D44">
        <w:rPr>
          <w:sz w:val="23"/>
          <w:szCs w:val="23"/>
        </w:rPr>
        <w:t xml:space="preserve"> Zał. 2.2 Zapotrzebowanie </w:t>
      </w:r>
      <w:r w:rsidR="00B12D44" w:rsidRPr="00B12D44">
        <w:rPr>
          <w:sz w:val="23"/>
          <w:szCs w:val="23"/>
        </w:rPr>
        <w:t xml:space="preserve">Kuchnia </w:t>
      </w:r>
      <w:r w:rsidR="004E2B2C" w:rsidRPr="00B12D44">
        <w:rPr>
          <w:sz w:val="23"/>
          <w:szCs w:val="23"/>
        </w:rPr>
        <w:t xml:space="preserve"> punkt poboru</w:t>
      </w:r>
      <w:r w:rsidR="00036F69">
        <w:rPr>
          <w:sz w:val="23"/>
          <w:szCs w:val="23"/>
        </w:rPr>
        <w:t xml:space="preserve"> B</w:t>
      </w:r>
      <w:r w:rsidR="003A05E2">
        <w:rPr>
          <w:sz w:val="23"/>
          <w:szCs w:val="23"/>
        </w:rPr>
        <w:br/>
      </w:r>
      <w:r w:rsidR="003A05E2">
        <w:rPr>
          <w:sz w:val="23"/>
          <w:szCs w:val="23"/>
        </w:rPr>
        <w:lastRenderedPageBreak/>
        <w:t xml:space="preserve">  </w:t>
      </w:r>
      <w:r w:rsidR="004E2B2C" w:rsidRPr="00B12D44">
        <w:rPr>
          <w:sz w:val="23"/>
          <w:szCs w:val="23"/>
        </w:rPr>
        <w:t xml:space="preserve">Zał. 2.3 Zapotrzebowanie </w:t>
      </w:r>
      <w:r w:rsidR="00B12D44" w:rsidRPr="00B12D44">
        <w:rPr>
          <w:sz w:val="23"/>
          <w:szCs w:val="23"/>
        </w:rPr>
        <w:t xml:space="preserve">Pralnia </w:t>
      </w:r>
      <w:r w:rsidR="004E2B2C" w:rsidRPr="00B12D44">
        <w:rPr>
          <w:sz w:val="23"/>
          <w:szCs w:val="23"/>
        </w:rPr>
        <w:t xml:space="preserve"> punkt poboru</w:t>
      </w:r>
      <w:r w:rsidR="00036F69">
        <w:rPr>
          <w:sz w:val="23"/>
          <w:szCs w:val="23"/>
        </w:rPr>
        <w:t xml:space="preserve"> C</w:t>
      </w:r>
      <w:r w:rsidR="003A05E2">
        <w:rPr>
          <w:sz w:val="23"/>
          <w:szCs w:val="23"/>
        </w:rPr>
        <w:br/>
      </w:r>
      <w:r w:rsidR="003A05E2" w:rsidRPr="00A435EE">
        <w:rPr>
          <w:b/>
          <w:color w:val="auto"/>
          <w:sz w:val="23"/>
          <w:szCs w:val="23"/>
        </w:rPr>
        <w:t>Załącznik nr. 3.</w:t>
      </w:r>
      <w:r w:rsidR="003A05E2" w:rsidRPr="00A435EE">
        <w:rPr>
          <w:color w:val="auto"/>
          <w:sz w:val="23"/>
          <w:szCs w:val="23"/>
        </w:rPr>
        <w:t xml:space="preserve"> Oświadczenie składane na podstawie art.125 ust 1 oraz art. 117 ust.4 oraz 7 ust. 1 -3 ustawy z dnia 13 kwietnia 2022 </w:t>
      </w:r>
      <w:r w:rsidR="003A05E2" w:rsidRPr="00BC1697">
        <w:rPr>
          <w:color w:val="FF0000"/>
          <w:sz w:val="23"/>
          <w:szCs w:val="23"/>
        </w:rPr>
        <w:br/>
      </w:r>
      <w:r w:rsidR="003A05E2" w:rsidRPr="00231F8B">
        <w:rPr>
          <w:b/>
          <w:sz w:val="23"/>
          <w:szCs w:val="23"/>
        </w:rPr>
        <w:t>Załącznik nr. 4.</w:t>
      </w:r>
      <w:r w:rsidR="003A05E2">
        <w:rPr>
          <w:sz w:val="23"/>
          <w:szCs w:val="23"/>
        </w:rPr>
        <w:t xml:space="preserve"> Oświadczenie o przynależności lub braku przynależności do grupy kapitałowej </w:t>
      </w:r>
      <w:r w:rsidR="00231F8B">
        <w:rPr>
          <w:sz w:val="23"/>
          <w:szCs w:val="23"/>
        </w:rPr>
        <w:br/>
      </w:r>
      <w:r w:rsidR="00231F8B" w:rsidRPr="00231F8B">
        <w:rPr>
          <w:b/>
          <w:sz w:val="23"/>
          <w:szCs w:val="23"/>
        </w:rPr>
        <w:t>Załącznik nr. 5</w:t>
      </w:r>
      <w:r w:rsidR="00F67A98">
        <w:rPr>
          <w:sz w:val="23"/>
          <w:szCs w:val="23"/>
        </w:rPr>
        <w:t xml:space="preserve"> Istotne postanowienia umowy</w:t>
      </w:r>
      <w:r w:rsidR="00450445">
        <w:rPr>
          <w:sz w:val="23"/>
          <w:szCs w:val="23"/>
        </w:rPr>
        <w:br/>
      </w:r>
      <w:r w:rsidR="00450445" w:rsidRPr="00450445">
        <w:rPr>
          <w:b/>
          <w:sz w:val="23"/>
          <w:szCs w:val="23"/>
        </w:rPr>
        <w:t>Załącznik nr 6.</w:t>
      </w:r>
      <w:r w:rsidR="00450445">
        <w:rPr>
          <w:sz w:val="23"/>
          <w:szCs w:val="23"/>
        </w:rPr>
        <w:t xml:space="preserve"> Oświadczenie odbiorcy paliw gazowych </w:t>
      </w:r>
    </w:p>
    <w:p w:rsidR="00A435EE" w:rsidRPr="005D4E95" w:rsidRDefault="00A435EE" w:rsidP="003A05E2">
      <w:pPr>
        <w:pStyle w:val="Default"/>
        <w:tabs>
          <w:tab w:val="left" w:pos="3750"/>
        </w:tabs>
        <w:spacing w:after="13229"/>
        <w:rPr>
          <w:color w:val="auto"/>
          <w:sz w:val="23"/>
          <w:szCs w:val="23"/>
        </w:rPr>
      </w:pPr>
    </w:p>
    <w:sectPr w:rsidR="00A435EE" w:rsidRPr="005D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7DF"/>
    <w:multiLevelType w:val="hybridMultilevel"/>
    <w:tmpl w:val="1284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1253"/>
    <w:multiLevelType w:val="hybridMultilevel"/>
    <w:tmpl w:val="DAE628F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CB0"/>
    <w:multiLevelType w:val="hybridMultilevel"/>
    <w:tmpl w:val="8F6C95E4"/>
    <w:lvl w:ilvl="0" w:tplc="26526F70">
      <w:start w:val="1"/>
      <w:numFmt w:val="lowerLetter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7A61CF9"/>
    <w:multiLevelType w:val="hybridMultilevel"/>
    <w:tmpl w:val="77D817C2"/>
    <w:lvl w:ilvl="0" w:tplc="D2E06176">
      <w:start w:val="7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837"/>
    <w:multiLevelType w:val="hybridMultilevel"/>
    <w:tmpl w:val="D6AE7772"/>
    <w:lvl w:ilvl="0" w:tplc="54A0D28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82A2B"/>
    <w:multiLevelType w:val="hybridMultilevel"/>
    <w:tmpl w:val="C49E9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5682E"/>
    <w:multiLevelType w:val="hybridMultilevel"/>
    <w:tmpl w:val="47CC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B6704"/>
    <w:multiLevelType w:val="hybridMultilevel"/>
    <w:tmpl w:val="905A41C8"/>
    <w:lvl w:ilvl="0" w:tplc="CE5E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C2000"/>
    <w:multiLevelType w:val="hybridMultilevel"/>
    <w:tmpl w:val="A76EB37A"/>
    <w:lvl w:ilvl="0" w:tplc="C1EAD88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62F8"/>
    <w:multiLevelType w:val="hybridMultilevel"/>
    <w:tmpl w:val="BCF0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0DC9"/>
    <w:multiLevelType w:val="hybridMultilevel"/>
    <w:tmpl w:val="D1763402"/>
    <w:lvl w:ilvl="0" w:tplc="E932A776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87FD3"/>
    <w:multiLevelType w:val="hybridMultilevel"/>
    <w:tmpl w:val="4B989CA8"/>
    <w:lvl w:ilvl="0" w:tplc="74DC7D16">
      <w:start w:val="1"/>
      <w:numFmt w:val="decimal"/>
      <w:lvlText w:val="%1)"/>
      <w:lvlJc w:val="left"/>
      <w:pPr>
        <w:ind w:left="1140" w:hanging="360"/>
      </w:pPr>
      <w:rPr>
        <w:rFonts w:eastAsia="Times New Roman"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98F6BBF"/>
    <w:multiLevelType w:val="multilevel"/>
    <w:tmpl w:val="AD58B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D45F0"/>
    <w:multiLevelType w:val="hybridMultilevel"/>
    <w:tmpl w:val="1144DD2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D87"/>
    <w:multiLevelType w:val="hybridMultilevel"/>
    <w:tmpl w:val="0C44D53C"/>
    <w:lvl w:ilvl="0" w:tplc="8A042348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102BF0"/>
    <w:multiLevelType w:val="multilevel"/>
    <w:tmpl w:val="C8F8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A2BD4"/>
    <w:multiLevelType w:val="hybridMultilevel"/>
    <w:tmpl w:val="E2E28F46"/>
    <w:lvl w:ilvl="0" w:tplc="144E4ACC">
      <w:start w:val="6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F13AF"/>
    <w:multiLevelType w:val="hybridMultilevel"/>
    <w:tmpl w:val="A2CCFE98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E740D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846C3"/>
    <w:multiLevelType w:val="hybridMultilevel"/>
    <w:tmpl w:val="161EC9C0"/>
    <w:lvl w:ilvl="0" w:tplc="D778C766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A601B"/>
    <w:multiLevelType w:val="hybridMultilevel"/>
    <w:tmpl w:val="4BD6A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1129D"/>
    <w:multiLevelType w:val="hybridMultilevel"/>
    <w:tmpl w:val="B1A4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31B4"/>
    <w:multiLevelType w:val="hybridMultilevel"/>
    <w:tmpl w:val="F454E61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4C1"/>
    <w:multiLevelType w:val="hybridMultilevel"/>
    <w:tmpl w:val="03DEC2BA"/>
    <w:lvl w:ilvl="0" w:tplc="AF1C4276">
      <w:start w:val="7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8FE"/>
    <w:multiLevelType w:val="multilevel"/>
    <w:tmpl w:val="886AD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9"/>
  </w:num>
  <w:num w:numId="9">
    <w:abstractNumId w:val="11"/>
  </w:num>
  <w:num w:numId="10">
    <w:abstractNumId w:val="14"/>
  </w:num>
  <w:num w:numId="11">
    <w:abstractNumId w:val="5"/>
  </w:num>
  <w:num w:numId="12">
    <w:abstractNumId w:val="15"/>
  </w:num>
  <w:num w:numId="13">
    <w:abstractNumId w:val="22"/>
  </w:num>
  <w:num w:numId="14">
    <w:abstractNumId w:val="3"/>
  </w:num>
  <w:num w:numId="15">
    <w:abstractNumId w:val="23"/>
  </w:num>
  <w:num w:numId="16">
    <w:abstractNumId w:val="10"/>
  </w:num>
  <w:num w:numId="17">
    <w:abstractNumId w:val="6"/>
  </w:num>
  <w:num w:numId="18">
    <w:abstractNumId w:val="0"/>
  </w:num>
  <w:num w:numId="19">
    <w:abstractNumId w:val="8"/>
  </w:num>
  <w:num w:numId="20">
    <w:abstractNumId w:val="18"/>
  </w:num>
  <w:num w:numId="21">
    <w:abstractNumId w:val="4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D7"/>
    <w:rsid w:val="00000F3C"/>
    <w:rsid w:val="000072CA"/>
    <w:rsid w:val="00036F69"/>
    <w:rsid w:val="00061237"/>
    <w:rsid w:val="000C4684"/>
    <w:rsid w:val="000E0A61"/>
    <w:rsid w:val="000E4E0A"/>
    <w:rsid w:val="00126EC9"/>
    <w:rsid w:val="001354EB"/>
    <w:rsid w:val="00146C87"/>
    <w:rsid w:val="001528D7"/>
    <w:rsid w:val="001C0E24"/>
    <w:rsid w:val="001C74AC"/>
    <w:rsid w:val="001E3881"/>
    <w:rsid w:val="001F4381"/>
    <w:rsid w:val="0020030C"/>
    <w:rsid w:val="00231F8B"/>
    <w:rsid w:val="00274135"/>
    <w:rsid w:val="002834F3"/>
    <w:rsid w:val="002B388C"/>
    <w:rsid w:val="002C7AB6"/>
    <w:rsid w:val="0038664F"/>
    <w:rsid w:val="003A05E2"/>
    <w:rsid w:val="003B4715"/>
    <w:rsid w:val="003E6EF7"/>
    <w:rsid w:val="00406ADA"/>
    <w:rsid w:val="004415AA"/>
    <w:rsid w:val="00442364"/>
    <w:rsid w:val="00450445"/>
    <w:rsid w:val="00454D7E"/>
    <w:rsid w:val="0047596B"/>
    <w:rsid w:val="004E116F"/>
    <w:rsid w:val="004E2B2C"/>
    <w:rsid w:val="004F621B"/>
    <w:rsid w:val="00515440"/>
    <w:rsid w:val="00522ACA"/>
    <w:rsid w:val="00545388"/>
    <w:rsid w:val="005771C9"/>
    <w:rsid w:val="005914D5"/>
    <w:rsid w:val="005C6864"/>
    <w:rsid w:val="005D4E95"/>
    <w:rsid w:val="005F0AFF"/>
    <w:rsid w:val="006A2522"/>
    <w:rsid w:val="006B61B2"/>
    <w:rsid w:val="006F255F"/>
    <w:rsid w:val="007158B5"/>
    <w:rsid w:val="00774826"/>
    <w:rsid w:val="007B3342"/>
    <w:rsid w:val="008336BE"/>
    <w:rsid w:val="00876D77"/>
    <w:rsid w:val="00880F59"/>
    <w:rsid w:val="008B2A4B"/>
    <w:rsid w:val="008E642E"/>
    <w:rsid w:val="009642FD"/>
    <w:rsid w:val="009A6E14"/>
    <w:rsid w:val="00A1260A"/>
    <w:rsid w:val="00A255C5"/>
    <w:rsid w:val="00A435EE"/>
    <w:rsid w:val="00A46341"/>
    <w:rsid w:val="00A650D0"/>
    <w:rsid w:val="00A8570C"/>
    <w:rsid w:val="00B12D44"/>
    <w:rsid w:val="00B84F6E"/>
    <w:rsid w:val="00BC1697"/>
    <w:rsid w:val="00BE3186"/>
    <w:rsid w:val="00BF7DBC"/>
    <w:rsid w:val="00C04400"/>
    <w:rsid w:val="00C05C52"/>
    <w:rsid w:val="00C37CBA"/>
    <w:rsid w:val="00C51896"/>
    <w:rsid w:val="00C751F9"/>
    <w:rsid w:val="00C9252A"/>
    <w:rsid w:val="00C9325D"/>
    <w:rsid w:val="00CA25A9"/>
    <w:rsid w:val="00D102BE"/>
    <w:rsid w:val="00D30313"/>
    <w:rsid w:val="00D44998"/>
    <w:rsid w:val="00D8069F"/>
    <w:rsid w:val="00D8560B"/>
    <w:rsid w:val="00DB115B"/>
    <w:rsid w:val="00E35834"/>
    <w:rsid w:val="00E55CEF"/>
    <w:rsid w:val="00E844E5"/>
    <w:rsid w:val="00EC3876"/>
    <w:rsid w:val="00EF1BA4"/>
    <w:rsid w:val="00F12A0F"/>
    <w:rsid w:val="00F25055"/>
    <w:rsid w:val="00F412DD"/>
    <w:rsid w:val="00F44011"/>
    <w:rsid w:val="00F67A98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83E3-C979-4FA1-AC02-EFBEC819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28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7DBC"/>
    <w:rPr>
      <w:color w:val="0563C1" w:themeColor="hyperlink"/>
      <w:u w:val="single"/>
    </w:rPr>
  </w:style>
  <w:style w:type="paragraph" w:customStyle="1" w:styleId="Standard">
    <w:name w:val="Standard"/>
    <w:rsid w:val="003E6E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aliases w:val="CW_Lista,sw tekst"/>
    <w:basedOn w:val="Normalny"/>
    <w:link w:val="AkapitzlistZnak"/>
    <w:uiPriority w:val="34"/>
    <w:qFormat/>
    <w:rsid w:val="00061237"/>
    <w:pPr>
      <w:ind w:left="720"/>
      <w:contextualSpacing/>
    </w:pPr>
  </w:style>
  <w:style w:type="character" w:customStyle="1" w:styleId="AkapitzlistZnak">
    <w:name w:val="Akapit z listą Znak"/>
    <w:aliases w:val="CW_Lista Znak,sw tekst Znak"/>
    <w:link w:val="Akapitzlist"/>
    <w:uiPriority w:val="34"/>
    <w:qFormat/>
    <w:rsid w:val="005771C9"/>
  </w:style>
  <w:style w:type="paragraph" w:styleId="Tekstdymka">
    <w:name w:val="Balloon Text"/>
    <w:basedOn w:val="Normalny"/>
    <w:link w:val="TekstdymkaZnak"/>
    <w:uiPriority w:val="99"/>
    <w:semiHidden/>
    <w:unhideWhenUsed/>
    <w:rsid w:val="00D4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9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52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A234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om@syrena-mie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rena.ta.pl" TargetMode="External"/><Relationship Id="rId5" Type="http://schemas.openxmlformats.org/officeDocument/2006/relationships/hyperlink" Target="mailto:sekretariat@syrena-miel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7678</Words>
  <Characters>46073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8</cp:revision>
  <cp:lastPrinted>2023-11-24T09:34:00Z</cp:lastPrinted>
  <dcterms:created xsi:type="dcterms:W3CDTF">2024-12-11T12:49:00Z</dcterms:created>
  <dcterms:modified xsi:type="dcterms:W3CDTF">2024-12-13T13:30:00Z</dcterms:modified>
</cp:coreProperties>
</file>